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206A0C" w14:textId="66F8B4CC" w:rsidR="00124CF0" w:rsidRPr="006D54D3" w:rsidRDefault="00124CF0">
      <w:pPr>
        <w:rPr>
          <w:rFonts w:ascii="Times New Roman" w:hAnsi="Times New Roman" w:cs="Times New Roman"/>
          <w:sz w:val="24"/>
          <w:szCs w:val="24"/>
        </w:rPr>
      </w:pPr>
    </w:p>
    <w:p w14:paraId="7F2B59B6" w14:textId="05AB6D06" w:rsidR="00637152" w:rsidRPr="006D54D3" w:rsidRDefault="00D6656C" w:rsidP="00637152">
      <w:pPr>
        <w:jc w:val="right"/>
        <w:rPr>
          <w:rFonts w:ascii="Times New Roman" w:hAnsi="Times New Roman" w:cs="Times New Roman"/>
          <w:sz w:val="24"/>
          <w:szCs w:val="24"/>
        </w:rPr>
      </w:pPr>
      <w:r>
        <w:rPr>
          <w:rFonts w:ascii="Times New Roman" w:hAnsi="Times New Roman" w:cs="Times New Roman"/>
          <w:sz w:val="24"/>
          <w:szCs w:val="24"/>
        </w:rPr>
        <w:t>Słupca,</w:t>
      </w:r>
      <w:r w:rsidR="00637152" w:rsidRPr="006D54D3">
        <w:rPr>
          <w:rFonts w:ascii="Times New Roman" w:hAnsi="Times New Roman" w:cs="Times New Roman"/>
          <w:sz w:val="24"/>
          <w:szCs w:val="24"/>
        </w:rPr>
        <w:t xml:space="preserve"> dn</w:t>
      </w:r>
      <w:r w:rsidR="009A3CDC">
        <w:rPr>
          <w:rFonts w:ascii="Times New Roman" w:hAnsi="Times New Roman" w:cs="Times New Roman"/>
          <w:sz w:val="24"/>
          <w:szCs w:val="24"/>
        </w:rPr>
        <w:t xml:space="preserve">ia 10 </w:t>
      </w:r>
      <w:r>
        <w:rPr>
          <w:rFonts w:ascii="Times New Roman" w:hAnsi="Times New Roman" w:cs="Times New Roman"/>
          <w:sz w:val="24"/>
          <w:szCs w:val="24"/>
        </w:rPr>
        <w:t>czerwca</w:t>
      </w:r>
      <w:r w:rsidR="00637152" w:rsidRPr="006D54D3">
        <w:rPr>
          <w:rFonts w:ascii="Times New Roman" w:hAnsi="Times New Roman" w:cs="Times New Roman"/>
          <w:sz w:val="24"/>
          <w:szCs w:val="24"/>
        </w:rPr>
        <w:t xml:space="preserve"> 202</w:t>
      </w:r>
      <w:r>
        <w:rPr>
          <w:rFonts w:ascii="Times New Roman" w:hAnsi="Times New Roman" w:cs="Times New Roman"/>
          <w:sz w:val="24"/>
          <w:szCs w:val="24"/>
        </w:rPr>
        <w:t>4</w:t>
      </w:r>
      <w:r w:rsidR="00D71821" w:rsidRPr="006D54D3">
        <w:rPr>
          <w:rFonts w:ascii="Times New Roman" w:hAnsi="Times New Roman" w:cs="Times New Roman"/>
          <w:sz w:val="24"/>
          <w:szCs w:val="24"/>
        </w:rPr>
        <w:t xml:space="preserve"> r.</w:t>
      </w:r>
    </w:p>
    <w:p w14:paraId="31A903E3" w14:textId="77777777" w:rsidR="00637152" w:rsidRPr="006D54D3" w:rsidRDefault="00637152">
      <w:pPr>
        <w:rPr>
          <w:rFonts w:ascii="Times New Roman" w:hAnsi="Times New Roman" w:cs="Times New Roman"/>
          <w:caps/>
          <w:sz w:val="24"/>
          <w:szCs w:val="24"/>
        </w:rPr>
      </w:pPr>
    </w:p>
    <w:p w14:paraId="6E3CD51E" w14:textId="78E34189" w:rsidR="00637152" w:rsidRPr="006D54D3" w:rsidRDefault="00637152" w:rsidP="00637152">
      <w:pPr>
        <w:jc w:val="center"/>
        <w:rPr>
          <w:rFonts w:ascii="Times New Roman" w:hAnsi="Times New Roman" w:cs="Times New Roman"/>
          <w:b/>
          <w:bCs/>
          <w:sz w:val="24"/>
          <w:szCs w:val="24"/>
        </w:rPr>
      </w:pPr>
      <w:r w:rsidRPr="006D54D3">
        <w:rPr>
          <w:rFonts w:ascii="Times New Roman" w:hAnsi="Times New Roman" w:cs="Times New Roman"/>
          <w:b/>
          <w:bCs/>
          <w:sz w:val="24"/>
          <w:szCs w:val="24"/>
        </w:rPr>
        <w:t>Sprawozdanie z przebiegu i wyników konsultacji projektu „</w:t>
      </w:r>
      <w:r w:rsidR="00095EC8" w:rsidRPr="006D54D3">
        <w:rPr>
          <w:rFonts w:ascii="Times New Roman" w:hAnsi="Times New Roman" w:cs="Times New Roman"/>
          <w:b/>
          <w:bCs/>
          <w:sz w:val="24"/>
          <w:szCs w:val="24"/>
        </w:rPr>
        <w:t xml:space="preserve">Strategii Rozwoju Gminy </w:t>
      </w:r>
      <w:r w:rsidR="00D6656C">
        <w:rPr>
          <w:rFonts w:ascii="Times New Roman" w:hAnsi="Times New Roman" w:cs="Times New Roman"/>
          <w:b/>
          <w:bCs/>
          <w:sz w:val="24"/>
          <w:szCs w:val="24"/>
        </w:rPr>
        <w:t>Słupca</w:t>
      </w:r>
      <w:r w:rsidR="00095EC8" w:rsidRPr="006D54D3">
        <w:rPr>
          <w:rFonts w:ascii="Times New Roman" w:hAnsi="Times New Roman" w:cs="Times New Roman"/>
          <w:b/>
          <w:bCs/>
          <w:sz w:val="24"/>
          <w:szCs w:val="24"/>
        </w:rPr>
        <w:t xml:space="preserve"> na lata 2024-2034</w:t>
      </w:r>
      <w:r w:rsidRPr="006D54D3">
        <w:rPr>
          <w:rFonts w:ascii="Times New Roman" w:hAnsi="Times New Roman" w:cs="Times New Roman"/>
          <w:b/>
          <w:bCs/>
          <w:sz w:val="24"/>
          <w:szCs w:val="24"/>
        </w:rPr>
        <w:t>”</w:t>
      </w:r>
    </w:p>
    <w:p w14:paraId="6D885659" w14:textId="22658686" w:rsidR="00637152" w:rsidRPr="006D54D3" w:rsidRDefault="00637152" w:rsidP="00637152">
      <w:pPr>
        <w:jc w:val="center"/>
        <w:rPr>
          <w:rFonts w:ascii="Times New Roman" w:hAnsi="Times New Roman" w:cs="Times New Roman"/>
          <w:sz w:val="24"/>
          <w:szCs w:val="24"/>
        </w:rPr>
      </w:pPr>
    </w:p>
    <w:p w14:paraId="34995776" w14:textId="193A5D1C" w:rsidR="00095EC8" w:rsidRPr="006D54D3" w:rsidRDefault="00637152" w:rsidP="00095EC8">
      <w:pPr>
        <w:jc w:val="both"/>
        <w:rPr>
          <w:rFonts w:ascii="Times New Roman" w:hAnsi="Times New Roman" w:cs="Times New Roman"/>
          <w:sz w:val="24"/>
          <w:szCs w:val="24"/>
        </w:rPr>
      </w:pPr>
      <w:r w:rsidRPr="006D54D3">
        <w:rPr>
          <w:rFonts w:ascii="Times New Roman" w:hAnsi="Times New Roman" w:cs="Times New Roman"/>
          <w:sz w:val="24"/>
          <w:szCs w:val="24"/>
        </w:rPr>
        <w:t xml:space="preserve">Działając na podstawie </w:t>
      </w:r>
      <w:r w:rsidR="000A226B" w:rsidRPr="006D54D3">
        <w:rPr>
          <w:rFonts w:ascii="Times New Roman" w:hAnsi="Times New Roman" w:cs="Times New Roman"/>
          <w:sz w:val="24"/>
          <w:szCs w:val="24"/>
        </w:rPr>
        <w:t>art. 6 ust. 3 ustawy z dnia 6 grudnia 2006 r. o zasadach prowadzenia polityki rozwoju (</w:t>
      </w:r>
      <w:r w:rsidR="00046C2F" w:rsidRPr="006D54D3">
        <w:rPr>
          <w:rFonts w:ascii="Times New Roman" w:hAnsi="Times New Roman" w:cs="Times New Roman"/>
          <w:sz w:val="24"/>
          <w:szCs w:val="24"/>
        </w:rPr>
        <w:t xml:space="preserve">Dz. U. </w:t>
      </w:r>
      <w:r w:rsidR="0056338E" w:rsidRPr="0056338E">
        <w:rPr>
          <w:rFonts w:ascii="Times New Roman" w:hAnsi="Times New Roman" w:cs="Times New Roman"/>
          <w:sz w:val="24"/>
          <w:szCs w:val="24"/>
        </w:rPr>
        <w:t>z 2024 r. poz. 324</w:t>
      </w:r>
      <w:r w:rsidR="00046C2F" w:rsidRPr="006D54D3">
        <w:rPr>
          <w:rFonts w:ascii="Times New Roman" w:hAnsi="Times New Roman" w:cs="Times New Roman"/>
          <w:sz w:val="24"/>
          <w:szCs w:val="24"/>
        </w:rPr>
        <w:t>.</w:t>
      </w:r>
      <w:r w:rsidR="000A226B" w:rsidRPr="006D54D3">
        <w:rPr>
          <w:rFonts w:ascii="Times New Roman" w:hAnsi="Times New Roman" w:cs="Times New Roman"/>
          <w:sz w:val="24"/>
          <w:szCs w:val="24"/>
        </w:rPr>
        <w:t xml:space="preserve">), </w:t>
      </w:r>
      <w:r w:rsidR="00095EC8" w:rsidRPr="006D54D3">
        <w:rPr>
          <w:rFonts w:ascii="Times New Roman" w:hAnsi="Times New Roman" w:cs="Times New Roman"/>
          <w:sz w:val="24"/>
          <w:szCs w:val="24"/>
        </w:rPr>
        <w:t xml:space="preserve">uchwały </w:t>
      </w:r>
      <w:r w:rsidR="0056338E">
        <w:rPr>
          <w:rFonts w:ascii="Times New Roman" w:hAnsi="Times New Roman" w:cs="Times New Roman"/>
          <w:sz w:val="24"/>
          <w:szCs w:val="24"/>
        </w:rPr>
        <w:t xml:space="preserve">nr </w:t>
      </w:r>
      <w:r w:rsidR="0056338E" w:rsidRPr="0056338E">
        <w:rPr>
          <w:rFonts w:ascii="Times New Roman" w:hAnsi="Times New Roman" w:cs="Times New Roman"/>
          <w:sz w:val="24"/>
          <w:szCs w:val="24"/>
        </w:rPr>
        <w:t>XXXV/228/13 Rady Gminy Słupca z dnia 25 września 2013 r. w sprawie zasad i trybu przeprowadzenia konsultacji z mieszkańcami Gminy Słupca (Dz. Urz. Woj. Wielkopolskiego z 2013 r. poz. 5652 ze zm.)</w:t>
      </w:r>
      <w:r w:rsidR="0056338E">
        <w:rPr>
          <w:rFonts w:ascii="Times New Roman" w:hAnsi="Times New Roman" w:cs="Times New Roman"/>
          <w:sz w:val="24"/>
          <w:szCs w:val="24"/>
        </w:rPr>
        <w:t xml:space="preserve"> </w:t>
      </w:r>
      <w:r w:rsidR="00095EC8" w:rsidRPr="006D54D3">
        <w:rPr>
          <w:rFonts w:ascii="Times New Roman" w:hAnsi="Times New Roman" w:cs="Times New Roman"/>
          <w:sz w:val="24"/>
          <w:szCs w:val="24"/>
        </w:rPr>
        <w:t xml:space="preserve">oraz uchwały </w:t>
      </w:r>
      <w:r w:rsidR="0056338E">
        <w:rPr>
          <w:rFonts w:ascii="Times New Roman" w:hAnsi="Times New Roman" w:cs="Times New Roman"/>
          <w:sz w:val="24"/>
          <w:szCs w:val="24"/>
        </w:rPr>
        <w:t>n</w:t>
      </w:r>
      <w:r w:rsidR="0056338E" w:rsidRPr="0056338E">
        <w:rPr>
          <w:rFonts w:ascii="Times New Roman" w:hAnsi="Times New Roman" w:cs="Times New Roman"/>
          <w:sz w:val="24"/>
          <w:szCs w:val="24"/>
        </w:rPr>
        <w:t>r LXXIII/409/2023 Rady Gminy Słupca z dnia 21 lipca 2023 r. w sprawie określenia szczegółowego trybu i harmonogramu opracowania projektu Strategii Rozwoju Gminy Słupca na lata 2024-2030, w tym tryb konsultacji</w:t>
      </w:r>
      <w:r w:rsidR="00046C2F" w:rsidRPr="006D54D3">
        <w:rPr>
          <w:rFonts w:ascii="Times New Roman" w:hAnsi="Times New Roman" w:cs="Times New Roman"/>
          <w:sz w:val="24"/>
          <w:szCs w:val="24"/>
        </w:rPr>
        <w:t>, przedstawiam niniejsze sprawozdanie z przebiegu i wyników konsultacji projektu „</w:t>
      </w:r>
      <w:r w:rsidR="0056338E" w:rsidRPr="0056338E">
        <w:rPr>
          <w:rFonts w:ascii="Times New Roman" w:hAnsi="Times New Roman" w:cs="Times New Roman"/>
          <w:sz w:val="24"/>
          <w:szCs w:val="24"/>
        </w:rPr>
        <w:t>Strategii Rozwoju Gminy Słupca na lata 2024-2030</w:t>
      </w:r>
      <w:r w:rsidR="0056338E">
        <w:rPr>
          <w:rFonts w:ascii="Times New Roman" w:hAnsi="Times New Roman" w:cs="Times New Roman"/>
          <w:sz w:val="24"/>
          <w:szCs w:val="24"/>
        </w:rPr>
        <w:t>”</w:t>
      </w:r>
    </w:p>
    <w:p w14:paraId="6AA846D5" w14:textId="6B11640F" w:rsidR="0070315A" w:rsidRPr="006D54D3" w:rsidRDefault="0070315A" w:rsidP="00095EC8">
      <w:pPr>
        <w:jc w:val="both"/>
        <w:rPr>
          <w:rFonts w:ascii="Times New Roman" w:hAnsi="Times New Roman" w:cs="Times New Roman"/>
          <w:sz w:val="24"/>
          <w:szCs w:val="24"/>
        </w:rPr>
      </w:pPr>
      <w:r w:rsidRPr="006D54D3">
        <w:rPr>
          <w:rFonts w:ascii="Times New Roman" w:hAnsi="Times New Roman" w:cs="Times New Roman"/>
          <w:b/>
          <w:bCs/>
          <w:sz w:val="24"/>
          <w:szCs w:val="24"/>
        </w:rPr>
        <w:t>Przedmiot konsultacji:</w:t>
      </w:r>
      <w:r w:rsidRPr="006D54D3">
        <w:rPr>
          <w:rFonts w:ascii="Times New Roman" w:hAnsi="Times New Roman" w:cs="Times New Roman"/>
          <w:sz w:val="24"/>
          <w:szCs w:val="24"/>
        </w:rPr>
        <w:t xml:space="preserve"> „Strategia Rozwoju </w:t>
      </w:r>
      <w:r w:rsidR="000A226B" w:rsidRPr="006D54D3">
        <w:rPr>
          <w:rFonts w:ascii="Times New Roman" w:hAnsi="Times New Roman" w:cs="Times New Roman"/>
          <w:sz w:val="24"/>
          <w:szCs w:val="24"/>
        </w:rPr>
        <w:t xml:space="preserve">Gminy </w:t>
      </w:r>
      <w:r w:rsidR="0056338E">
        <w:rPr>
          <w:rFonts w:ascii="Times New Roman" w:hAnsi="Times New Roman" w:cs="Times New Roman"/>
          <w:sz w:val="24"/>
          <w:szCs w:val="24"/>
        </w:rPr>
        <w:t xml:space="preserve">Słupca </w:t>
      </w:r>
      <w:r w:rsidR="00095EC8" w:rsidRPr="006D54D3">
        <w:rPr>
          <w:rFonts w:ascii="Times New Roman" w:hAnsi="Times New Roman" w:cs="Times New Roman"/>
          <w:sz w:val="24"/>
          <w:szCs w:val="24"/>
        </w:rPr>
        <w:t>na lata 2024-2030</w:t>
      </w:r>
      <w:r w:rsidRPr="006D54D3">
        <w:rPr>
          <w:rFonts w:ascii="Times New Roman" w:hAnsi="Times New Roman" w:cs="Times New Roman"/>
          <w:sz w:val="24"/>
          <w:szCs w:val="24"/>
        </w:rPr>
        <w:t>”</w:t>
      </w:r>
      <w:r w:rsidR="00683A77" w:rsidRPr="006D54D3">
        <w:rPr>
          <w:rFonts w:ascii="Times New Roman" w:hAnsi="Times New Roman" w:cs="Times New Roman"/>
          <w:sz w:val="24"/>
          <w:szCs w:val="24"/>
        </w:rPr>
        <w:t>.</w:t>
      </w:r>
    </w:p>
    <w:p w14:paraId="4DDBFCA6" w14:textId="1C1E971E" w:rsidR="004D6B7C" w:rsidRPr="006D54D3" w:rsidRDefault="001A4652" w:rsidP="0070315A">
      <w:pPr>
        <w:pStyle w:val="Akapitzlist"/>
        <w:numPr>
          <w:ilvl w:val="0"/>
          <w:numId w:val="1"/>
        </w:numPr>
        <w:jc w:val="both"/>
        <w:rPr>
          <w:rFonts w:ascii="Times New Roman" w:hAnsi="Times New Roman" w:cs="Times New Roman"/>
          <w:sz w:val="24"/>
          <w:szCs w:val="24"/>
        </w:rPr>
      </w:pPr>
      <w:r w:rsidRPr="006D54D3">
        <w:rPr>
          <w:rFonts w:ascii="Times New Roman" w:hAnsi="Times New Roman" w:cs="Times New Roman"/>
          <w:b/>
          <w:bCs/>
          <w:sz w:val="24"/>
          <w:szCs w:val="24"/>
        </w:rPr>
        <w:t>Podstawa prawna przeprowadzenia konsultacji:</w:t>
      </w:r>
      <w:r w:rsidRPr="006D54D3">
        <w:rPr>
          <w:rFonts w:ascii="Times New Roman" w:hAnsi="Times New Roman" w:cs="Times New Roman"/>
          <w:sz w:val="24"/>
          <w:szCs w:val="24"/>
        </w:rPr>
        <w:t xml:space="preserve"> </w:t>
      </w:r>
      <w:r w:rsidR="0056338E" w:rsidRPr="0056338E">
        <w:rPr>
          <w:rFonts w:ascii="Times New Roman" w:hAnsi="Times New Roman" w:cs="Times New Roman"/>
          <w:sz w:val="24"/>
          <w:szCs w:val="24"/>
        </w:rPr>
        <w:t>uchwał</w:t>
      </w:r>
      <w:r w:rsidR="0056338E">
        <w:rPr>
          <w:rFonts w:ascii="Times New Roman" w:hAnsi="Times New Roman" w:cs="Times New Roman"/>
          <w:sz w:val="24"/>
          <w:szCs w:val="24"/>
        </w:rPr>
        <w:t>a nr</w:t>
      </w:r>
      <w:r w:rsidR="0056338E" w:rsidRPr="0056338E">
        <w:rPr>
          <w:rFonts w:ascii="Times New Roman" w:hAnsi="Times New Roman" w:cs="Times New Roman"/>
          <w:sz w:val="24"/>
          <w:szCs w:val="24"/>
        </w:rPr>
        <w:t xml:space="preserve"> XXXV/228/13 Rady Gminy Słupca z dnia 25 września 2013 r. w sprawie zasad i trybu przeprowadzenia konsultacji z mieszkańcami Gminy Słupca (Dz. Urz. Woj. Wielkopolskiego z 2013 r. poz. 5652 ze zm.) oraz uchwał</w:t>
      </w:r>
      <w:r w:rsidR="0056338E">
        <w:rPr>
          <w:rFonts w:ascii="Times New Roman" w:hAnsi="Times New Roman" w:cs="Times New Roman"/>
          <w:sz w:val="24"/>
          <w:szCs w:val="24"/>
        </w:rPr>
        <w:t>a</w:t>
      </w:r>
      <w:r w:rsidR="0056338E" w:rsidRPr="0056338E">
        <w:rPr>
          <w:rFonts w:ascii="Times New Roman" w:hAnsi="Times New Roman" w:cs="Times New Roman"/>
          <w:sz w:val="24"/>
          <w:szCs w:val="24"/>
        </w:rPr>
        <w:t xml:space="preserve"> </w:t>
      </w:r>
      <w:r w:rsidR="0056338E">
        <w:rPr>
          <w:rFonts w:ascii="Times New Roman" w:hAnsi="Times New Roman" w:cs="Times New Roman"/>
          <w:sz w:val="24"/>
          <w:szCs w:val="24"/>
        </w:rPr>
        <w:t>n</w:t>
      </w:r>
      <w:r w:rsidR="0056338E" w:rsidRPr="0056338E">
        <w:rPr>
          <w:rFonts w:ascii="Times New Roman" w:hAnsi="Times New Roman" w:cs="Times New Roman"/>
          <w:sz w:val="24"/>
          <w:szCs w:val="24"/>
        </w:rPr>
        <w:t>r LXXIII/409/2023 Rady Gminy Słupca z dnia 21 lipca 2023 r. w sprawie określenia szczegółowego trybu i harmonogramu opracowania projektu Strategii Rozwoju Gminy Słupca na lata 2024-2030, w tym tryb konsultacj</w:t>
      </w:r>
      <w:r w:rsidR="0074329C">
        <w:rPr>
          <w:rFonts w:ascii="Times New Roman" w:hAnsi="Times New Roman" w:cs="Times New Roman"/>
          <w:sz w:val="24"/>
          <w:szCs w:val="24"/>
        </w:rPr>
        <w:t>i</w:t>
      </w:r>
      <w:r w:rsidR="0056338E">
        <w:rPr>
          <w:rFonts w:ascii="Times New Roman" w:hAnsi="Times New Roman" w:cs="Times New Roman"/>
          <w:sz w:val="24"/>
          <w:szCs w:val="24"/>
        </w:rPr>
        <w:t>.</w:t>
      </w:r>
    </w:p>
    <w:p w14:paraId="647107A7" w14:textId="77F40397" w:rsidR="001A4652" w:rsidRPr="006D54D3" w:rsidRDefault="001A4652" w:rsidP="0070315A">
      <w:pPr>
        <w:pStyle w:val="Akapitzlist"/>
        <w:numPr>
          <w:ilvl w:val="0"/>
          <w:numId w:val="1"/>
        </w:numPr>
        <w:jc w:val="both"/>
        <w:rPr>
          <w:rFonts w:ascii="Times New Roman" w:hAnsi="Times New Roman" w:cs="Times New Roman"/>
          <w:sz w:val="24"/>
          <w:szCs w:val="24"/>
        </w:rPr>
      </w:pPr>
      <w:r w:rsidRPr="006D54D3">
        <w:rPr>
          <w:rFonts w:ascii="Times New Roman" w:hAnsi="Times New Roman" w:cs="Times New Roman"/>
          <w:b/>
          <w:bCs/>
          <w:sz w:val="24"/>
          <w:szCs w:val="24"/>
        </w:rPr>
        <w:t xml:space="preserve">Cel konsultacji: </w:t>
      </w:r>
      <w:r w:rsidRPr="006D54D3">
        <w:rPr>
          <w:rFonts w:ascii="Times New Roman" w:hAnsi="Times New Roman" w:cs="Times New Roman"/>
          <w:sz w:val="24"/>
          <w:szCs w:val="24"/>
        </w:rPr>
        <w:t>poznanie opinii</w:t>
      </w:r>
      <w:r w:rsidR="00D71821" w:rsidRPr="006D54D3">
        <w:rPr>
          <w:rFonts w:ascii="Times New Roman" w:hAnsi="Times New Roman" w:cs="Times New Roman"/>
          <w:sz w:val="24"/>
          <w:szCs w:val="24"/>
        </w:rPr>
        <w:t xml:space="preserve"> i</w:t>
      </w:r>
      <w:r w:rsidRPr="006D54D3">
        <w:rPr>
          <w:rFonts w:ascii="Times New Roman" w:hAnsi="Times New Roman" w:cs="Times New Roman"/>
          <w:sz w:val="24"/>
          <w:szCs w:val="24"/>
        </w:rPr>
        <w:t xml:space="preserve"> uwag mieszkańców</w:t>
      </w:r>
      <w:r w:rsidR="004D6B7C" w:rsidRPr="006D54D3">
        <w:rPr>
          <w:rFonts w:ascii="Times New Roman" w:hAnsi="Times New Roman" w:cs="Times New Roman"/>
          <w:sz w:val="24"/>
          <w:szCs w:val="24"/>
        </w:rPr>
        <w:t xml:space="preserve"> Gminy </w:t>
      </w:r>
      <w:r w:rsidR="0056338E">
        <w:rPr>
          <w:rFonts w:ascii="Times New Roman" w:hAnsi="Times New Roman" w:cs="Times New Roman"/>
          <w:sz w:val="24"/>
          <w:szCs w:val="24"/>
        </w:rPr>
        <w:t>Słupca</w:t>
      </w:r>
      <w:r w:rsidRPr="006D54D3">
        <w:rPr>
          <w:rFonts w:ascii="Times New Roman" w:hAnsi="Times New Roman" w:cs="Times New Roman"/>
          <w:sz w:val="24"/>
          <w:szCs w:val="24"/>
        </w:rPr>
        <w:t xml:space="preserve">, sąsiednich gmin i ich związków, partnerów społecznych i gospodarczych oraz dyrektora Regionalnego Zarządu Gospodarki </w:t>
      </w:r>
      <w:r w:rsidR="004D6B7C" w:rsidRPr="006D54D3">
        <w:rPr>
          <w:rFonts w:ascii="Times New Roman" w:hAnsi="Times New Roman" w:cs="Times New Roman"/>
          <w:sz w:val="24"/>
          <w:szCs w:val="24"/>
        </w:rPr>
        <w:t>W</w:t>
      </w:r>
      <w:r w:rsidRPr="006D54D3">
        <w:rPr>
          <w:rFonts w:ascii="Times New Roman" w:hAnsi="Times New Roman" w:cs="Times New Roman"/>
          <w:sz w:val="24"/>
          <w:szCs w:val="24"/>
        </w:rPr>
        <w:t xml:space="preserve">odnej </w:t>
      </w:r>
      <w:r w:rsidR="005D2D9C" w:rsidRPr="006D54D3">
        <w:rPr>
          <w:rFonts w:ascii="Times New Roman" w:hAnsi="Times New Roman" w:cs="Times New Roman"/>
          <w:sz w:val="24"/>
          <w:szCs w:val="24"/>
        </w:rPr>
        <w:t xml:space="preserve">we </w:t>
      </w:r>
      <w:r w:rsidR="00095EC8" w:rsidRPr="006D54D3">
        <w:rPr>
          <w:rFonts w:ascii="Times New Roman" w:hAnsi="Times New Roman" w:cs="Times New Roman"/>
          <w:sz w:val="24"/>
          <w:szCs w:val="24"/>
        </w:rPr>
        <w:t>Poznaniu</w:t>
      </w:r>
      <w:r w:rsidR="00D2159D" w:rsidRPr="006D54D3">
        <w:rPr>
          <w:rFonts w:ascii="Times New Roman" w:hAnsi="Times New Roman" w:cs="Times New Roman"/>
          <w:sz w:val="24"/>
          <w:szCs w:val="24"/>
        </w:rPr>
        <w:t xml:space="preserve"> </w:t>
      </w:r>
      <w:r w:rsidRPr="006D54D3">
        <w:rPr>
          <w:rFonts w:ascii="Times New Roman" w:hAnsi="Times New Roman" w:cs="Times New Roman"/>
          <w:sz w:val="24"/>
          <w:szCs w:val="24"/>
        </w:rPr>
        <w:t>oraz uzyskanie informacji zwrotnej dotyczącej poszczególnych zapisów dokumentu, w tym uwzględnienie w nim potrzeb i</w:t>
      </w:r>
      <w:r w:rsidR="00C769F0" w:rsidRPr="006D54D3">
        <w:rPr>
          <w:rFonts w:ascii="Times New Roman" w:hAnsi="Times New Roman" w:cs="Times New Roman"/>
          <w:sz w:val="24"/>
          <w:szCs w:val="24"/>
        </w:rPr>
        <w:t> </w:t>
      </w:r>
      <w:r w:rsidRPr="006D54D3">
        <w:rPr>
          <w:rFonts w:ascii="Times New Roman" w:hAnsi="Times New Roman" w:cs="Times New Roman"/>
          <w:sz w:val="24"/>
          <w:szCs w:val="24"/>
        </w:rPr>
        <w:t>oczekiwań grupy adresatów.</w:t>
      </w:r>
      <w:r w:rsidR="001C4012" w:rsidRPr="006D54D3">
        <w:rPr>
          <w:rFonts w:ascii="Times New Roman" w:hAnsi="Times New Roman" w:cs="Times New Roman"/>
          <w:sz w:val="24"/>
          <w:szCs w:val="24"/>
        </w:rPr>
        <w:t xml:space="preserve"> </w:t>
      </w:r>
    </w:p>
    <w:p w14:paraId="05503044" w14:textId="575275BF" w:rsidR="00095EC8" w:rsidRPr="006D54D3" w:rsidRDefault="0070315A" w:rsidP="0070315A">
      <w:pPr>
        <w:pStyle w:val="Akapitzlist"/>
        <w:numPr>
          <w:ilvl w:val="0"/>
          <w:numId w:val="1"/>
        </w:numPr>
        <w:jc w:val="both"/>
        <w:rPr>
          <w:rFonts w:ascii="Times New Roman" w:hAnsi="Times New Roman" w:cs="Times New Roman"/>
          <w:sz w:val="24"/>
          <w:szCs w:val="24"/>
        </w:rPr>
      </w:pPr>
      <w:r w:rsidRPr="006D54D3">
        <w:rPr>
          <w:rFonts w:ascii="Times New Roman" w:hAnsi="Times New Roman" w:cs="Times New Roman"/>
          <w:b/>
          <w:bCs/>
          <w:sz w:val="24"/>
          <w:szCs w:val="24"/>
        </w:rPr>
        <w:t xml:space="preserve">Termin konsultacji: </w:t>
      </w:r>
      <w:r w:rsidR="0056338E" w:rsidRPr="0056338E">
        <w:rPr>
          <w:rFonts w:ascii="Times New Roman" w:hAnsi="Times New Roman" w:cs="Times New Roman"/>
          <w:sz w:val="24"/>
          <w:szCs w:val="24"/>
        </w:rPr>
        <w:t>od 22 kwietnia 2024 r. do 29 maja  2024 r.</w:t>
      </w:r>
    </w:p>
    <w:p w14:paraId="7F249EB1" w14:textId="63585F7A" w:rsidR="0070315A" w:rsidRPr="006D54D3" w:rsidRDefault="0070315A" w:rsidP="0070315A">
      <w:pPr>
        <w:pStyle w:val="Akapitzlist"/>
        <w:numPr>
          <w:ilvl w:val="0"/>
          <w:numId w:val="1"/>
        </w:numPr>
        <w:jc w:val="both"/>
        <w:rPr>
          <w:rFonts w:ascii="Times New Roman" w:hAnsi="Times New Roman" w:cs="Times New Roman"/>
          <w:sz w:val="24"/>
          <w:szCs w:val="24"/>
        </w:rPr>
      </w:pPr>
      <w:r w:rsidRPr="006D54D3">
        <w:rPr>
          <w:rFonts w:ascii="Times New Roman" w:hAnsi="Times New Roman" w:cs="Times New Roman"/>
          <w:b/>
          <w:bCs/>
          <w:sz w:val="24"/>
          <w:szCs w:val="24"/>
        </w:rPr>
        <w:t>Podmiot przeprowadzający konsultacje:</w:t>
      </w:r>
      <w:r w:rsidRPr="006D54D3">
        <w:rPr>
          <w:rFonts w:ascii="Times New Roman" w:hAnsi="Times New Roman" w:cs="Times New Roman"/>
          <w:sz w:val="24"/>
          <w:szCs w:val="24"/>
        </w:rPr>
        <w:t xml:space="preserve"> </w:t>
      </w:r>
      <w:r w:rsidR="0062465C" w:rsidRPr="006D54D3">
        <w:rPr>
          <w:rFonts w:ascii="Times New Roman" w:hAnsi="Times New Roman" w:cs="Times New Roman"/>
          <w:sz w:val="24"/>
          <w:szCs w:val="24"/>
        </w:rPr>
        <w:t xml:space="preserve">Wójt Gminy </w:t>
      </w:r>
      <w:r w:rsidR="0056338E">
        <w:rPr>
          <w:rFonts w:ascii="Times New Roman" w:hAnsi="Times New Roman" w:cs="Times New Roman"/>
          <w:sz w:val="24"/>
          <w:szCs w:val="24"/>
        </w:rPr>
        <w:t>Słupca</w:t>
      </w:r>
    </w:p>
    <w:p w14:paraId="493F5874" w14:textId="1735500C" w:rsidR="00095EC8" w:rsidRPr="006D54D3" w:rsidRDefault="0070315A" w:rsidP="001A4652">
      <w:pPr>
        <w:pStyle w:val="Akapitzlist"/>
        <w:numPr>
          <w:ilvl w:val="0"/>
          <w:numId w:val="1"/>
        </w:numPr>
        <w:jc w:val="both"/>
        <w:rPr>
          <w:rFonts w:ascii="Times New Roman" w:hAnsi="Times New Roman" w:cs="Times New Roman"/>
          <w:sz w:val="24"/>
          <w:szCs w:val="24"/>
        </w:rPr>
      </w:pPr>
      <w:r w:rsidRPr="006D54D3">
        <w:rPr>
          <w:rFonts w:ascii="Times New Roman" w:hAnsi="Times New Roman" w:cs="Times New Roman"/>
          <w:b/>
          <w:bCs/>
          <w:sz w:val="24"/>
          <w:szCs w:val="24"/>
        </w:rPr>
        <w:t>Formy przeprowadzenia konsultacji:</w:t>
      </w:r>
      <w:r w:rsidRPr="006D54D3">
        <w:rPr>
          <w:rFonts w:ascii="Times New Roman" w:hAnsi="Times New Roman" w:cs="Times New Roman"/>
          <w:sz w:val="24"/>
          <w:szCs w:val="24"/>
        </w:rPr>
        <w:t xml:space="preserve"> zbieranie uwag w formie elektronicznej</w:t>
      </w:r>
      <w:r w:rsidR="001A4652" w:rsidRPr="006D54D3">
        <w:rPr>
          <w:rFonts w:ascii="Times New Roman" w:hAnsi="Times New Roman" w:cs="Times New Roman"/>
          <w:sz w:val="24"/>
          <w:szCs w:val="24"/>
        </w:rPr>
        <w:t xml:space="preserve"> </w:t>
      </w:r>
      <w:r w:rsidR="00D2159D" w:rsidRPr="006D54D3">
        <w:rPr>
          <w:rFonts w:ascii="Times New Roman" w:hAnsi="Times New Roman" w:cs="Times New Roman"/>
          <w:sz w:val="24"/>
          <w:szCs w:val="24"/>
        </w:rPr>
        <w:t xml:space="preserve">lub papierowej </w:t>
      </w:r>
      <w:r w:rsidR="001A4652" w:rsidRPr="006D54D3">
        <w:rPr>
          <w:rFonts w:ascii="Times New Roman" w:hAnsi="Times New Roman" w:cs="Times New Roman"/>
          <w:sz w:val="24"/>
          <w:szCs w:val="24"/>
        </w:rPr>
        <w:t xml:space="preserve">za pomocą udostępnionego formularza </w:t>
      </w:r>
      <w:r w:rsidR="00D71821" w:rsidRPr="006D54D3">
        <w:rPr>
          <w:rFonts w:ascii="Times New Roman" w:hAnsi="Times New Roman" w:cs="Times New Roman"/>
          <w:sz w:val="24"/>
          <w:szCs w:val="24"/>
        </w:rPr>
        <w:t>oraz przesyłania na adres mailowy wskazany w ogłoszeniu o konsultacjach</w:t>
      </w:r>
      <w:r w:rsidR="001C4012" w:rsidRPr="006D54D3">
        <w:rPr>
          <w:rFonts w:ascii="Times New Roman" w:hAnsi="Times New Roman" w:cs="Times New Roman"/>
          <w:sz w:val="24"/>
          <w:szCs w:val="24"/>
        </w:rPr>
        <w:t xml:space="preserve">, a także </w:t>
      </w:r>
      <w:r w:rsidR="00095EC8" w:rsidRPr="006D54D3">
        <w:rPr>
          <w:rFonts w:ascii="Times New Roman" w:hAnsi="Times New Roman" w:cs="Times New Roman"/>
          <w:sz w:val="24"/>
          <w:szCs w:val="24"/>
        </w:rPr>
        <w:t>zebrania konsultacyjne</w:t>
      </w:r>
      <w:r w:rsidR="0056338E">
        <w:rPr>
          <w:rFonts w:ascii="Times New Roman" w:hAnsi="Times New Roman" w:cs="Times New Roman"/>
          <w:sz w:val="24"/>
          <w:szCs w:val="24"/>
        </w:rPr>
        <w:t>go</w:t>
      </w:r>
      <w:r w:rsidR="00095EC8" w:rsidRPr="006D54D3">
        <w:rPr>
          <w:rFonts w:ascii="Times New Roman" w:hAnsi="Times New Roman" w:cs="Times New Roman"/>
          <w:sz w:val="24"/>
          <w:szCs w:val="24"/>
        </w:rPr>
        <w:t>, które odb</w:t>
      </w:r>
      <w:r w:rsidR="0056338E">
        <w:rPr>
          <w:rFonts w:ascii="Times New Roman" w:hAnsi="Times New Roman" w:cs="Times New Roman"/>
          <w:sz w:val="24"/>
          <w:szCs w:val="24"/>
        </w:rPr>
        <w:t>yło</w:t>
      </w:r>
      <w:r w:rsidR="00095EC8" w:rsidRPr="006D54D3">
        <w:rPr>
          <w:rFonts w:ascii="Times New Roman" w:hAnsi="Times New Roman" w:cs="Times New Roman"/>
          <w:sz w:val="24"/>
          <w:szCs w:val="24"/>
        </w:rPr>
        <w:t xml:space="preserve"> się </w:t>
      </w:r>
      <w:r w:rsidR="0056338E">
        <w:rPr>
          <w:rFonts w:ascii="Times New Roman" w:hAnsi="Times New Roman" w:cs="Times New Roman"/>
          <w:sz w:val="24"/>
          <w:szCs w:val="24"/>
        </w:rPr>
        <w:t>9 maja 2024 rok</w:t>
      </w:r>
      <w:r w:rsidR="00095EC8" w:rsidRPr="006D54D3">
        <w:rPr>
          <w:rFonts w:ascii="Times New Roman" w:hAnsi="Times New Roman" w:cs="Times New Roman"/>
          <w:sz w:val="24"/>
          <w:szCs w:val="24"/>
        </w:rPr>
        <w:t xml:space="preserve"> o godz. 1</w:t>
      </w:r>
      <w:r w:rsidR="0056338E">
        <w:rPr>
          <w:rFonts w:ascii="Times New Roman" w:hAnsi="Times New Roman" w:cs="Times New Roman"/>
          <w:sz w:val="24"/>
          <w:szCs w:val="24"/>
        </w:rPr>
        <w:t>5</w:t>
      </w:r>
      <w:r w:rsidR="00095EC8" w:rsidRPr="006D54D3">
        <w:rPr>
          <w:rFonts w:ascii="Times New Roman" w:hAnsi="Times New Roman" w:cs="Times New Roman"/>
          <w:sz w:val="24"/>
          <w:szCs w:val="24"/>
        </w:rPr>
        <w:t>:00</w:t>
      </w:r>
      <w:r w:rsidR="0056338E">
        <w:rPr>
          <w:rFonts w:ascii="Times New Roman" w:hAnsi="Times New Roman" w:cs="Times New Roman"/>
          <w:sz w:val="24"/>
          <w:szCs w:val="24"/>
        </w:rPr>
        <w:t xml:space="preserve"> </w:t>
      </w:r>
      <w:r w:rsidR="0056338E" w:rsidRPr="0056338E">
        <w:rPr>
          <w:rFonts w:ascii="Times New Roman" w:hAnsi="Times New Roman" w:cs="Times New Roman"/>
          <w:sz w:val="24"/>
          <w:szCs w:val="24"/>
        </w:rPr>
        <w:t xml:space="preserve">w świetlicy przy Szkole Podstawowej im. Józefa Janika w Koszutach, Koszuty 17, 62-400 </w:t>
      </w:r>
      <w:r w:rsidR="0056338E" w:rsidRPr="000B06D3">
        <w:rPr>
          <w:rFonts w:ascii="Times New Roman" w:hAnsi="Times New Roman" w:cs="Times New Roman"/>
          <w:sz w:val="24"/>
          <w:szCs w:val="24"/>
        </w:rPr>
        <w:t xml:space="preserve">Słupca. W spotkaniu wzięło udział </w:t>
      </w:r>
      <w:r w:rsidR="000B06D3" w:rsidRPr="000B06D3">
        <w:rPr>
          <w:rFonts w:ascii="Times New Roman" w:hAnsi="Times New Roman" w:cs="Times New Roman"/>
          <w:sz w:val="24"/>
          <w:szCs w:val="24"/>
        </w:rPr>
        <w:t>8 osób.</w:t>
      </w:r>
    </w:p>
    <w:p w14:paraId="643269D4" w14:textId="1F4C047C" w:rsidR="001A4652" w:rsidRPr="006D54D3" w:rsidRDefault="001A4652" w:rsidP="001A4652">
      <w:pPr>
        <w:pStyle w:val="Akapitzlist"/>
        <w:numPr>
          <w:ilvl w:val="0"/>
          <w:numId w:val="1"/>
        </w:numPr>
        <w:jc w:val="both"/>
        <w:rPr>
          <w:rFonts w:ascii="Times New Roman" w:hAnsi="Times New Roman" w:cs="Times New Roman"/>
          <w:sz w:val="24"/>
          <w:szCs w:val="24"/>
        </w:rPr>
      </w:pPr>
      <w:r w:rsidRPr="006D54D3">
        <w:rPr>
          <w:rFonts w:ascii="Times New Roman" w:hAnsi="Times New Roman" w:cs="Times New Roman"/>
          <w:b/>
          <w:bCs/>
          <w:sz w:val="24"/>
          <w:szCs w:val="24"/>
        </w:rPr>
        <w:t>Informacja o sposobie promowania konsultacji:</w:t>
      </w:r>
      <w:r w:rsidRPr="006D54D3">
        <w:rPr>
          <w:rFonts w:ascii="Times New Roman" w:hAnsi="Times New Roman" w:cs="Times New Roman"/>
          <w:sz w:val="24"/>
          <w:szCs w:val="24"/>
        </w:rPr>
        <w:t xml:space="preserve"> ogłoszenie o konsultacjach społecznych na oficjalnej stronie internetowe</w:t>
      </w:r>
      <w:r w:rsidR="00441D2B" w:rsidRPr="006D54D3">
        <w:rPr>
          <w:rFonts w:ascii="Times New Roman" w:hAnsi="Times New Roman" w:cs="Times New Roman"/>
          <w:sz w:val="24"/>
          <w:szCs w:val="24"/>
        </w:rPr>
        <w:t xml:space="preserve">j </w:t>
      </w:r>
      <w:r w:rsidR="00D71821" w:rsidRPr="006D54D3">
        <w:rPr>
          <w:rFonts w:ascii="Times New Roman" w:hAnsi="Times New Roman" w:cs="Times New Roman"/>
          <w:sz w:val="24"/>
          <w:szCs w:val="24"/>
        </w:rPr>
        <w:t xml:space="preserve">Gminy </w:t>
      </w:r>
      <w:r w:rsidR="0056338E">
        <w:rPr>
          <w:rFonts w:ascii="Times New Roman" w:hAnsi="Times New Roman" w:cs="Times New Roman"/>
          <w:sz w:val="24"/>
          <w:szCs w:val="24"/>
        </w:rPr>
        <w:t>Słupca</w:t>
      </w:r>
      <w:r w:rsidR="00441D2B" w:rsidRPr="006D54D3">
        <w:rPr>
          <w:rFonts w:ascii="Times New Roman" w:hAnsi="Times New Roman" w:cs="Times New Roman"/>
          <w:sz w:val="24"/>
          <w:szCs w:val="24"/>
        </w:rPr>
        <w:t xml:space="preserve"> z </w:t>
      </w:r>
      <w:r w:rsidR="00D71821" w:rsidRPr="006D54D3">
        <w:rPr>
          <w:rFonts w:ascii="Times New Roman" w:hAnsi="Times New Roman" w:cs="Times New Roman"/>
          <w:sz w:val="24"/>
          <w:szCs w:val="24"/>
        </w:rPr>
        <w:t>załączeniem pliku z</w:t>
      </w:r>
      <w:r w:rsidR="00C769F0" w:rsidRPr="006D54D3">
        <w:rPr>
          <w:rFonts w:ascii="Times New Roman" w:hAnsi="Times New Roman" w:cs="Times New Roman"/>
          <w:sz w:val="24"/>
          <w:szCs w:val="24"/>
        </w:rPr>
        <w:t> </w:t>
      </w:r>
      <w:r w:rsidR="00D71821" w:rsidRPr="006D54D3">
        <w:rPr>
          <w:rFonts w:ascii="Times New Roman" w:hAnsi="Times New Roman" w:cs="Times New Roman"/>
          <w:sz w:val="24"/>
          <w:szCs w:val="24"/>
        </w:rPr>
        <w:t xml:space="preserve">projektem Strategii Rozwoju </w:t>
      </w:r>
      <w:r w:rsidR="000A226B" w:rsidRPr="006D54D3">
        <w:rPr>
          <w:rFonts w:ascii="Times New Roman" w:hAnsi="Times New Roman" w:cs="Times New Roman"/>
          <w:sz w:val="24"/>
          <w:szCs w:val="24"/>
        </w:rPr>
        <w:t xml:space="preserve">Gminy </w:t>
      </w:r>
      <w:r w:rsidR="0056338E">
        <w:rPr>
          <w:rFonts w:ascii="Times New Roman" w:hAnsi="Times New Roman" w:cs="Times New Roman"/>
          <w:sz w:val="24"/>
          <w:szCs w:val="24"/>
        </w:rPr>
        <w:t>Słupca</w:t>
      </w:r>
      <w:r w:rsidR="00095EC8" w:rsidRPr="006D54D3">
        <w:rPr>
          <w:rFonts w:ascii="Times New Roman" w:hAnsi="Times New Roman" w:cs="Times New Roman"/>
          <w:sz w:val="24"/>
          <w:szCs w:val="24"/>
        </w:rPr>
        <w:t xml:space="preserve"> </w:t>
      </w:r>
      <w:r w:rsidR="00046C2F" w:rsidRPr="006D54D3">
        <w:rPr>
          <w:rFonts w:ascii="Times New Roman" w:hAnsi="Times New Roman" w:cs="Times New Roman"/>
          <w:sz w:val="24"/>
          <w:szCs w:val="24"/>
        </w:rPr>
        <w:t>na lata 202</w:t>
      </w:r>
      <w:r w:rsidR="00095EC8" w:rsidRPr="006D54D3">
        <w:rPr>
          <w:rFonts w:ascii="Times New Roman" w:hAnsi="Times New Roman" w:cs="Times New Roman"/>
          <w:sz w:val="24"/>
          <w:szCs w:val="24"/>
        </w:rPr>
        <w:t>4</w:t>
      </w:r>
      <w:r w:rsidR="00046C2F" w:rsidRPr="006D54D3">
        <w:rPr>
          <w:rFonts w:ascii="Times New Roman" w:hAnsi="Times New Roman" w:cs="Times New Roman"/>
          <w:sz w:val="24"/>
          <w:szCs w:val="24"/>
        </w:rPr>
        <w:t>-2030</w:t>
      </w:r>
      <w:r w:rsidR="00D71821" w:rsidRPr="006D54D3">
        <w:rPr>
          <w:rFonts w:ascii="Times New Roman" w:hAnsi="Times New Roman" w:cs="Times New Roman"/>
          <w:sz w:val="24"/>
          <w:szCs w:val="24"/>
        </w:rPr>
        <w:t xml:space="preserve"> </w:t>
      </w:r>
      <w:r w:rsidR="00441D2B" w:rsidRPr="006D54D3">
        <w:rPr>
          <w:rFonts w:ascii="Times New Roman" w:hAnsi="Times New Roman" w:cs="Times New Roman"/>
          <w:sz w:val="24"/>
          <w:szCs w:val="24"/>
        </w:rPr>
        <w:t>i formularzem</w:t>
      </w:r>
      <w:r w:rsidR="00D71821" w:rsidRPr="006D54D3">
        <w:rPr>
          <w:rFonts w:ascii="Times New Roman" w:hAnsi="Times New Roman" w:cs="Times New Roman"/>
          <w:sz w:val="24"/>
          <w:szCs w:val="24"/>
        </w:rPr>
        <w:t xml:space="preserve"> zgłaszania</w:t>
      </w:r>
      <w:r w:rsidR="00441D2B" w:rsidRPr="006D54D3">
        <w:rPr>
          <w:rFonts w:ascii="Times New Roman" w:hAnsi="Times New Roman" w:cs="Times New Roman"/>
          <w:sz w:val="24"/>
          <w:szCs w:val="24"/>
        </w:rPr>
        <w:t xml:space="preserve"> uwag, opinii, propozycji zmian</w:t>
      </w:r>
      <w:r w:rsidR="005A75E3" w:rsidRPr="006D54D3">
        <w:rPr>
          <w:rFonts w:ascii="Times New Roman" w:hAnsi="Times New Roman" w:cs="Times New Roman"/>
          <w:sz w:val="24"/>
          <w:szCs w:val="24"/>
        </w:rPr>
        <w:t>.</w:t>
      </w:r>
      <w:r w:rsidR="0062465C" w:rsidRPr="006D54D3">
        <w:rPr>
          <w:rFonts w:ascii="Times New Roman" w:hAnsi="Times New Roman" w:cs="Times New Roman"/>
          <w:sz w:val="24"/>
          <w:szCs w:val="24"/>
        </w:rPr>
        <w:t xml:space="preserve"> </w:t>
      </w:r>
    </w:p>
    <w:p w14:paraId="677CEB53" w14:textId="08577DCC" w:rsidR="00441D2B" w:rsidRPr="006D54D3" w:rsidRDefault="00441D2B" w:rsidP="001A4652">
      <w:pPr>
        <w:pStyle w:val="Akapitzlist"/>
        <w:numPr>
          <w:ilvl w:val="0"/>
          <w:numId w:val="1"/>
        </w:numPr>
        <w:jc w:val="both"/>
        <w:rPr>
          <w:rFonts w:ascii="Times New Roman" w:hAnsi="Times New Roman" w:cs="Times New Roman"/>
          <w:sz w:val="24"/>
          <w:szCs w:val="24"/>
        </w:rPr>
      </w:pPr>
      <w:r w:rsidRPr="006D54D3">
        <w:rPr>
          <w:rFonts w:ascii="Times New Roman" w:hAnsi="Times New Roman" w:cs="Times New Roman"/>
          <w:b/>
          <w:bCs/>
          <w:sz w:val="24"/>
          <w:szCs w:val="24"/>
        </w:rPr>
        <w:t>Informacja o uczestnikach konsultacji:</w:t>
      </w:r>
      <w:r w:rsidRPr="006D54D3">
        <w:rPr>
          <w:rFonts w:ascii="Times New Roman" w:hAnsi="Times New Roman" w:cs="Times New Roman"/>
          <w:sz w:val="24"/>
          <w:szCs w:val="24"/>
        </w:rPr>
        <w:t xml:space="preserve"> w toku konsultacji społecznych </w:t>
      </w:r>
      <w:r w:rsidR="0056338E">
        <w:rPr>
          <w:rFonts w:ascii="Times New Roman" w:hAnsi="Times New Roman" w:cs="Times New Roman"/>
          <w:sz w:val="24"/>
          <w:szCs w:val="24"/>
        </w:rPr>
        <w:t xml:space="preserve">wpłynął jeden formularz z </w:t>
      </w:r>
      <w:r w:rsidR="000B06D3">
        <w:rPr>
          <w:rFonts w:ascii="Times New Roman" w:hAnsi="Times New Roman" w:cs="Times New Roman"/>
          <w:sz w:val="24"/>
          <w:szCs w:val="24"/>
        </w:rPr>
        <w:t>trzema uwagami do projektu. Wszystkie uwzględniono.</w:t>
      </w:r>
    </w:p>
    <w:p w14:paraId="7D8FBC98" w14:textId="7014A2A2" w:rsidR="00A2760A" w:rsidRPr="006D54D3" w:rsidRDefault="00447C3E" w:rsidP="001A4652">
      <w:pPr>
        <w:pStyle w:val="Akapitzlist"/>
        <w:numPr>
          <w:ilvl w:val="0"/>
          <w:numId w:val="1"/>
        </w:numPr>
        <w:jc w:val="both"/>
        <w:rPr>
          <w:rFonts w:ascii="Times New Roman" w:hAnsi="Times New Roman" w:cs="Times New Roman"/>
          <w:b/>
          <w:bCs/>
          <w:sz w:val="24"/>
          <w:szCs w:val="24"/>
        </w:rPr>
        <w:sectPr w:rsidR="00A2760A" w:rsidRPr="006D54D3">
          <w:pgSz w:w="11906" w:h="16838"/>
          <w:pgMar w:top="1417" w:right="1417" w:bottom="1417" w:left="1417" w:header="708" w:footer="708" w:gutter="0"/>
          <w:cols w:space="708"/>
          <w:docGrid w:linePitch="360"/>
        </w:sectPr>
      </w:pPr>
      <w:r w:rsidRPr="006D54D3">
        <w:rPr>
          <w:rFonts w:ascii="Times New Roman" w:hAnsi="Times New Roman" w:cs="Times New Roman"/>
          <w:b/>
          <w:bCs/>
          <w:sz w:val="24"/>
          <w:szCs w:val="24"/>
        </w:rPr>
        <w:t>Ustosunkowanie się do zgłoszonych uwag wraz z uzasadnieniem</w:t>
      </w:r>
    </w:p>
    <w:p w14:paraId="0D7CD6AB" w14:textId="77777777" w:rsidR="00A2760A" w:rsidRPr="006D54D3" w:rsidRDefault="00A2760A" w:rsidP="00A2760A">
      <w:pPr>
        <w:jc w:val="both"/>
        <w:rPr>
          <w:rFonts w:ascii="Times New Roman" w:hAnsi="Times New Roman" w:cs="Times New Roman"/>
          <w:sz w:val="24"/>
          <w:szCs w:val="24"/>
        </w:rPr>
      </w:pPr>
    </w:p>
    <w:tbl>
      <w:tblPr>
        <w:tblStyle w:val="Tabela-Siatka1"/>
        <w:tblW w:w="5160" w:type="pct"/>
        <w:tblLook w:val="04A0" w:firstRow="1" w:lastRow="0" w:firstColumn="1" w:lastColumn="0" w:noHBand="0" w:noVBand="1"/>
      </w:tblPr>
      <w:tblGrid>
        <w:gridCol w:w="988"/>
        <w:gridCol w:w="1513"/>
        <w:gridCol w:w="2593"/>
        <w:gridCol w:w="5190"/>
        <w:gridCol w:w="1695"/>
        <w:gridCol w:w="2461"/>
      </w:tblGrid>
      <w:tr w:rsidR="00A2760A" w:rsidRPr="006D54D3" w14:paraId="6200F59B" w14:textId="439DBEB3" w:rsidTr="0056338E">
        <w:tc>
          <w:tcPr>
            <w:tcW w:w="342" w:type="pct"/>
            <w:shd w:val="clear" w:color="auto" w:fill="auto"/>
            <w:vAlign w:val="center"/>
          </w:tcPr>
          <w:p w14:paraId="2360FBCA" w14:textId="77777777" w:rsidR="00A2760A" w:rsidRPr="00A2760A" w:rsidRDefault="00A2760A" w:rsidP="0043368D">
            <w:pPr>
              <w:spacing w:after="200" w:line="276" w:lineRule="auto"/>
              <w:contextualSpacing/>
              <w:jc w:val="center"/>
              <w:rPr>
                <w:rFonts w:ascii="Times New Roman" w:hAnsi="Times New Roman" w:cs="Times New Roman"/>
                <w:b/>
                <w:bCs/>
                <w:lang w:val="pl-PL"/>
              </w:rPr>
            </w:pPr>
            <w:r w:rsidRPr="00A2760A">
              <w:rPr>
                <w:rFonts w:ascii="Times New Roman" w:hAnsi="Times New Roman" w:cs="Times New Roman"/>
                <w:b/>
                <w:bCs/>
                <w:lang w:val="pl-PL"/>
              </w:rPr>
              <w:t>Lp.</w:t>
            </w:r>
          </w:p>
        </w:tc>
        <w:tc>
          <w:tcPr>
            <w:tcW w:w="524" w:type="pct"/>
            <w:shd w:val="clear" w:color="auto" w:fill="auto"/>
            <w:vAlign w:val="center"/>
          </w:tcPr>
          <w:p w14:paraId="5AA84082" w14:textId="77777777" w:rsidR="00A2760A" w:rsidRPr="00A2760A" w:rsidRDefault="00A2760A" w:rsidP="0043368D">
            <w:pPr>
              <w:spacing w:after="200" w:line="276" w:lineRule="auto"/>
              <w:contextualSpacing/>
              <w:jc w:val="center"/>
              <w:rPr>
                <w:rFonts w:ascii="Times New Roman" w:hAnsi="Times New Roman" w:cs="Times New Roman"/>
                <w:b/>
                <w:bCs/>
                <w:lang w:val="pl-PL"/>
              </w:rPr>
            </w:pPr>
            <w:r w:rsidRPr="00A2760A">
              <w:rPr>
                <w:rFonts w:ascii="Times New Roman" w:hAnsi="Times New Roman" w:cs="Times New Roman"/>
                <w:b/>
                <w:bCs/>
                <w:lang w:val="pl-PL"/>
              </w:rPr>
              <w:t xml:space="preserve">Część dokumentu, do którego odnosi się uwaga </w:t>
            </w:r>
            <w:r w:rsidRPr="00A2760A">
              <w:rPr>
                <w:rFonts w:ascii="Times New Roman" w:hAnsi="Times New Roman" w:cs="Times New Roman"/>
                <w:b/>
                <w:bCs/>
                <w:lang w:val="pl-PL"/>
              </w:rPr>
              <w:br/>
              <w:t>(rozdział/ strona/punkt)</w:t>
            </w:r>
          </w:p>
        </w:tc>
        <w:tc>
          <w:tcPr>
            <w:tcW w:w="898" w:type="pct"/>
            <w:shd w:val="clear" w:color="auto" w:fill="auto"/>
            <w:vAlign w:val="center"/>
          </w:tcPr>
          <w:p w14:paraId="03BFAA0D" w14:textId="77777777" w:rsidR="00A2760A" w:rsidRPr="00A2760A" w:rsidRDefault="00A2760A" w:rsidP="0043368D">
            <w:pPr>
              <w:spacing w:after="200" w:line="276" w:lineRule="auto"/>
              <w:contextualSpacing/>
              <w:jc w:val="center"/>
              <w:rPr>
                <w:rFonts w:ascii="Times New Roman" w:hAnsi="Times New Roman" w:cs="Times New Roman"/>
                <w:b/>
                <w:bCs/>
                <w:lang w:val="pl-PL"/>
              </w:rPr>
            </w:pPr>
            <w:r w:rsidRPr="00A2760A">
              <w:rPr>
                <w:rFonts w:ascii="Times New Roman" w:hAnsi="Times New Roman" w:cs="Times New Roman"/>
                <w:b/>
                <w:bCs/>
                <w:lang w:val="pl-PL"/>
              </w:rPr>
              <w:t>Treść uwagi</w:t>
            </w:r>
          </w:p>
        </w:tc>
        <w:tc>
          <w:tcPr>
            <w:tcW w:w="1797" w:type="pct"/>
            <w:shd w:val="clear" w:color="auto" w:fill="auto"/>
            <w:vAlign w:val="center"/>
          </w:tcPr>
          <w:p w14:paraId="6AEB5AA2" w14:textId="77777777" w:rsidR="00A2760A" w:rsidRPr="00A2760A" w:rsidRDefault="00A2760A" w:rsidP="0043368D">
            <w:pPr>
              <w:spacing w:after="200" w:line="276" w:lineRule="auto"/>
              <w:contextualSpacing/>
              <w:jc w:val="center"/>
              <w:rPr>
                <w:rFonts w:ascii="Times New Roman" w:hAnsi="Times New Roman" w:cs="Times New Roman"/>
                <w:b/>
                <w:bCs/>
                <w:lang w:val="pl-PL"/>
              </w:rPr>
            </w:pPr>
            <w:r w:rsidRPr="00A2760A">
              <w:rPr>
                <w:rFonts w:ascii="Times New Roman" w:hAnsi="Times New Roman" w:cs="Times New Roman"/>
                <w:b/>
                <w:bCs/>
                <w:lang w:val="pl-PL"/>
              </w:rPr>
              <w:t>Propozycja zmiany</w:t>
            </w:r>
          </w:p>
        </w:tc>
        <w:tc>
          <w:tcPr>
            <w:tcW w:w="587" w:type="pct"/>
            <w:shd w:val="clear" w:color="auto" w:fill="auto"/>
            <w:vAlign w:val="center"/>
          </w:tcPr>
          <w:p w14:paraId="1C9D694D" w14:textId="2B2E9840" w:rsidR="00A2760A" w:rsidRPr="0043368D" w:rsidRDefault="006D54D3" w:rsidP="0043368D">
            <w:pPr>
              <w:spacing w:after="200" w:line="276" w:lineRule="auto"/>
              <w:contextualSpacing/>
              <w:jc w:val="center"/>
              <w:rPr>
                <w:rFonts w:ascii="Times New Roman" w:hAnsi="Times New Roman" w:cs="Times New Roman"/>
                <w:b/>
                <w:bCs/>
                <w:lang w:val="pl-PL"/>
              </w:rPr>
            </w:pPr>
            <w:r w:rsidRPr="0043368D">
              <w:rPr>
                <w:rFonts w:ascii="Times New Roman" w:hAnsi="Times New Roman" w:cs="Times New Roman"/>
                <w:b/>
                <w:bCs/>
                <w:lang w:val="pl-PL"/>
              </w:rPr>
              <w:t>Rozstrzygnięcie</w:t>
            </w:r>
          </w:p>
        </w:tc>
        <w:tc>
          <w:tcPr>
            <w:tcW w:w="852" w:type="pct"/>
            <w:shd w:val="clear" w:color="auto" w:fill="auto"/>
            <w:vAlign w:val="center"/>
          </w:tcPr>
          <w:p w14:paraId="15A9BEB5" w14:textId="359393A9" w:rsidR="00A2760A" w:rsidRPr="0043368D" w:rsidRDefault="006D54D3" w:rsidP="0043368D">
            <w:pPr>
              <w:spacing w:after="200" w:line="276" w:lineRule="auto"/>
              <w:contextualSpacing/>
              <w:jc w:val="center"/>
              <w:rPr>
                <w:rFonts w:ascii="Times New Roman" w:hAnsi="Times New Roman" w:cs="Times New Roman"/>
                <w:b/>
                <w:bCs/>
                <w:lang w:val="pl-PL"/>
              </w:rPr>
            </w:pPr>
            <w:r w:rsidRPr="0043368D">
              <w:rPr>
                <w:rFonts w:ascii="Times New Roman" w:hAnsi="Times New Roman" w:cs="Times New Roman"/>
                <w:b/>
                <w:bCs/>
                <w:lang w:val="pl-PL"/>
              </w:rPr>
              <w:t>Uzasadnienie</w:t>
            </w:r>
          </w:p>
        </w:tc>
      </w:tr>
      <w:tr w:rsidR="00A2760A" w:rsidRPr="006D54D3" w14:paraId="28EDA0A4" w14:textId="2C05EBE3" w:rsidTr="0056338E">
        <w:trPr>
          <w:trHeight w:val="484"/>
        </w:trPr>
        <w:tc>
          <w:tcPr>
            <w:tcW w:w="342" w:type="pct"/>
            <w:vAlign w:val="center"/>
          </w:tcPr>
          <w:p w14:paraId="59DB25C8" w14:textId="77777777" w:rsidR="00A2760A" w:rsidRPr="00A2760A" w:rsidRDefault="00A2760A" w:rsidP="0043368D">
            <w:pPr>
              <w:numPr>
                <w:ilvl w:val="0"/>
                <w:numId w:val="20"/>
              </w:numPr>
              <w:spacing w:after="200" w:line="276" w:lineRule="auto"/>
              <w:contextualSpacing/>
              <w:jc w:val="center"/>
              <w:rPr>
                <w:rFonts w:ascii="Times New Roman" w:hAnsi="Times New Roman" w:cs="Times New Roman"/>
                <w:lang w:val="pl-PL"/>
              </w:rPr>
            </w:pPr>
            <w:bookmarkStart w:id="0" w:name="_Hlk168641683"/>
          </w:p>
        </w:tc>
        <w:tc>
          <w:tcPr>
            <w:tcW w:w="524" w:type="pct"/>
            <w:vAlign w:val="center"/>
          </w:tcPr>
          <w:p w14:paraId="474547C4" w14:textId="2D5F4866" w:rsidR="00A2760A" w:rsidRPr="00A2760A" w:rsidRDefault="0056338E" w:rsidP="0043368D">
            <w:pPr>
              <w:spacing w:after="200" w:line="276" w:lineRule="auto"/>
              <w:contextualSpacing/>
              <w:jc w:val="center"/>
              <w:rPr>
                <w:rFonts w:ascii="Times New Roman" w:hAnsi="Times New Roman" w:cs="Times New Roman"/>
                <w:lang w:val="pl-PL"/>
              </w:rPr>
            </w:pPr>
            <w:r w:rsidRPr="0056338E">
              <w:rPr>
                <w:rFonts w:ascii="Times New Roman" w:hAnsi="Times New Roman" w:cs="Times New Roman"/>
                <w:lang w:val="pl-PL"/>
              </w:rPr>
              <w:t>Rozdział 1.4. „Walory przyrodnicze i turystyczne”, str. 75</w:t>
            </w:r>
          </w:p>
        </w:tc>
        <w:tc>
          <w:tcPr>
            <w:tcW w:w="898" w:type="pct"/>
            <w:vAlign w:val="center"/>
          </w:tcPr>
          <w:p w14:paraId="1A3D777A" w14:textId="77777777" w:rsidR="0056338E" w:rsidRPr="0056338E" w:rsidRDefault="0056338E" w:rsidP="0056338E">
            <w:pPr>
              <w:spacing w:after="200" w:line="276" w:lineRule="auto"/>
              <w:contextualSpacing/>
              <w:jc w:val="center"/>
              <w:rPr>
                <w:rFonts w:ascii="Times New Roman" w:hAnsi="Times New Roman" w:cs="Times New Roman"/>
                <w:lang w:val="pl-PL"/>
              </w:rPr>
            </w:pPr>
            <w:r w:rsidRPr="0056338E">
              <w:rPr>
                <w:rFonts w:ascii="Times New Roman" w:hAnsi="Times New Roman" w:cs="Times New Roman"/>
                <w:lang w:val="pl-PL"/>
              </w:rPr>
              <w:t>W opiniowanym dokumencie „Strategia Rozwoju Gminy Słupca na lata 2024-2030” brakuje informacji, które zawierałyby dane z II aktualizacji planu gospodarowania wodami na obszarze dorzeczy zgodnie z art. 326 ust. 1 Prawa wodnego (</w:t>
            </w:r>
            <w:proofErr w:type="spellStart"/>
            <w:r w:rsidRPr="0056338E">
              <w:rPr>
                <w:rFonts w:ascii="Times New Roman" w:hAnsi="Times New Roman" w:cs="Times New Roman"/>
                <w:lang w:val="pl-PL"/>
              </w:rPr>
              <w:t>t.j</w:t>
            </w:r>
            <w:proofErr w:type="spellEnd"/>
            <w:r w:rsidRPr="0056338E">
              <w:rPr>
                <w:rFonts w:ascii="Times New Roman" w:hAnsi="Times New Roman" w:cs="Times New Roman"/>
                <w:lang w:val="pl-PL"/>
              </w:rPr>
              <w:t xml:space="preserve">. Dz. U. z 2023, poz. 1478 z </w:t>
            </w:r>
            <w:proofErr w:type="spellStart"/>
            <w:r w:rsidRPr="0056338E">
              <w:rPr>
                <w:rFonts w:ascii="Times New Roman" w:hAnsi="Times New Roman" w:cs="Times New Roman"/>
                <w:lang w:val="pl-PL"/>
              </w:rPr>
              <w:t>późn</w:t>
            </w:r>
            <w:proofErr w:type="spellEnd"/>
            <w:r w:rsidRPr="0056338E">
              <w:rPr>
                <w:rFonts w:ascii="Times New Roman" w:hAnsi="Times New Roman" w:cs="Times New Roman"/>
                <w:lang w:val="pl-PL"/>
              </w:rPr>
              <w:t>. zm.).</w:t>
            </w:r>
          </w:p>
          <w:p w14:paraId="47DF0970" w14:textId="431D373F" w:rsidR="00A2760A" w:rsidRPr="00A2760A" w:rsidRDefault="0056338E" w:rsidP="0056338E">
            <w:pPr>
              <w:spacing w:after="200" w:line="276" w:lineRule="auto"/>
              <w:contextualSpacing/>
              <w:jc w:val="center"/>
              <w:rPr>
                <w:rFonts w:ascii="Times New Roman" w:hAnsi="Times New Roman" w:cs="Times New Roman"/>
                <w:lang w:val="pl-PL"/>
              </w:rPr>
            </w:pPr>
            <w:r w:rsidRPr="0056338E">
              <w:rPr>
                <w:rFonts w:ascii="Times New Roman" w:hAnsi="Times New Roman" w:cs="Times New Roman"/>
                <w:lang w:val="pl-PL"/>
              </w:rPr>
              <w:t>Zgodnie z art. 326 ust. 1 ustawy z dnia 20 lipca 2017r. Prawo wodne (</w:t>
            </w:r>
            <w:proofErr w:type="spellStart"/>
            <w:r w:rsidRPr="0056338E">
              <w:rPr>
                <w:rFonts w:ascii="Times New Roman" w:hAnsi="Times New Roman" w:cs="Times New Roman"/>
                <w:lang w:val="pl-PL"/>
              </w:rPr>
              <w:t>t.j</w:t>
            </w:r>
            <w:proofErr w:type="spellEnd"/>
            <w:r w:rsidRPr="0056338E">
              <w:rPr>
                <w:rFonts w:ascii="Times New Roman" w:hAnsi="Times New Roman" w:cs="Times New Roman"/>
                <w:lang w:val="pl-PL"/>
              </w:rPr>
              <w:t xml:space="preserve">. Dz. U. 2023, poz. 1478 z </w:t>
            </w:r>
            <w:proofErr w:type="spellStart"/>
            <w:r w:rsidRPr="0056338E">
              <w:rPr>
                <w:rFonts w:ascii="Times New Roman" w:hAnsi="Times New Roman" w:cs="Times New Roman"/>
                <w:lang w:val="pl-PL"/>
              </w:rPr>
              <w:t>późn</w:t>
            </w:r>
            <w:proofErr w:type="spellEnd"/>
            <w:r w:rsidRPr="0056338E">
              <w:rPr>
                <w:rFonts w:ascii="Times New Roman" w:hAnsi="Times New Roman" w:cs="Times New Roman"/>
                <w:lang w:val="pl-PL"/>
              </w:rPr>
              <w:t xml:space="preserve">. zm.) ustalenia dokumentów planistycznych, o których mowa w art. 315 pkt 1-3, </w:t>
            </w:r>
            <w:r w:rsidRPr="0056338E">
              <w:rPr>
                <w:rFonts w:ascii="Times New Roman" w:hAnsi="Times New Roman" w:cs="Times New Roman"/>
                <w:lang w:val="pl-PL"/>
              </w:rPr>
              <w:lastRenderedPageBreak/>
              <w:t>uwzględnia się w strategii rozwoju gminy.</w:t>
            </w:r>
          </w:p>
        </w:tc>
        <w:tc>
          <w:tcPr>
            <w:tcW w:w="1797" w:type="pct"/>
            <w:vAlign w:val="center"/>
          </w:tcPr>
          <w:p w14:paraId="2C128D47" w14:textId="77777777" w:rsidR="0056338E" w:rsidRPr="0056338E" w:rsidRDefault="0056338E" w:rsidP="0056338E">
            <w:pPr>
              <w:spacing w:after="200" w:line="276" w:lineRule="auto"/>
              <w:contextualSpacing/>
              <w:jc w:val="both"/>
              <w:rPr>
                <w:rFonts w:ascii="Times New Roman" w:hAnsi="Times New Roman" w:cs="Times New Roman"/>
                <w:lang w:val="pl-PL"/>
              </w:rPr>
            </w:pPr>
            <w:r w:rsidRPr="0056338E">
              <w:rPr>
                <w:rFonts w:ascii="Times New Roman" w:hAnsi="Times New Roman" w:cs="Times New Roman"/>
                <w:lang w:val="pl-PL"/>
              </w:rPr>
              <w:lastRenderedPageBreak/>
              <w:t xml:space="preserve">Odnosząc się do obszaru terytorialnego PGW WP RZGW w Poznaniu związanego z regionem wodnym Warty przynależnym do dorzecza Odry informuje się, że zgodnie z obowiązującą II aktualizacją Planu gospodarowania wodami na obszarze dorzecza Odry (Dz.U. z 2023, poz. 335) na terenie Gminy Słupca częściowo zlokalizowane są jednolite części wód powierzchniowych rzecznych: Dopływ spod Ostrowa Kościelnego (PLRW600009183649), Dopływ ze </w:t>
            </w:r>
            <w:proofErr w:type="spellStart"/>
            <w:r w:rsidRPr="0056338E">
              <w:rPr>
                <w:rFonts w:ascii="Times New Roman" w:hAnsi="Times New Roman" w:cs="Times New Roman"/>
                <w:lang w:val="pl-PL"/>
              </w:rPr>
              <w:t>zb.</w:t>
            </w:r>
            <w:proofErr w:type="spellEnd"/>
            <w:r w:rsidRPr="0056338E">
              <w:rPr>
                <w:rFonts w:ascii="Times New Roman" w:hAnsi="Times New Roman" w:cs="Times New Roman"/>
                <w:lang w:val="pl-PL"/>
              </w:rPr>
              <w:t xml:space="preserve"> Słupca (PLRW6000181836369), Meszna do Strugi Bawół (PLRW600015183679), Struga Bawół od Dopływu z Szemborowa do ujścia (PLRW6000091836899), Struga Biskupia do jez. Gosławskiego (PLRW60001518345929), Warta od Powy do Prosny (PLRW60001218399), Meszna od Strugi Bawół do ujścia (PLRW60001618369) oraz jednolita część wód powierzchniowych jeziornych: Powidzkie (PLLW10102).</w:t>
            </w:r>
          </w:p>
          <w:p w14:paraId="5EC2A2C6" w14:textId="77777777" w:rsidR="0056338E" w:rsidRPr="0056338E" w:rsidRDefault="0056338E" w:rsidP="0056338E">
            <w:pPr>
              <w:spacing w:after="200" w:line="276" w:lineRule="auto"/>
              <w:contextualSpacing/>
              <w:jc w:val="both"/>
              <w:rPr>
                <w:rFonts w:ascii="Times New Roman" w:hAnsi="Times New Roman" w:cs="Times New Roman"/>
                <w:lang w:val="pl-PL"/>
              </w:rPr>
            </w:pPr>
            <w:r w:rsidRPr="0056338E">
              <w:rPr>
                <w:rFonts w:ascii="Times New Roman" w:hAnsi="Times New Roman" w:cs="Times New Roman"/>
                <w:lang w:val="pl-PL"/>
              </w:rPr>
              <w:t xml:space="preserve">W oparciu o obowiązujący Plan dla obszaru Odry w regionie wodnym Warty wszystkie jednolite części wód powierzchniowych – poza Jeziorem Powidzkim (dla którego nie wyznaczono oceny stanu) – charakteryzuje </w:t>
            </w:r>
            <w:r w:rsidRPr="0056338E">
              <w:rPr>
                <w:rFonts w:ascii="Times New Roman" w:hAnsi="Times New Roman" w:cs="Times New Roman"/>
                <w:lang w:val="pl-PL"/>
              </w:rPr>
              <w:lastRenderedPageBreak/>
              <w:t>zły stan wód, w związku z czym są one zagrożone ryzykiem nieosiągnięcia celów środowiskowych. Wszystkie jednolite rzeczne i jeziorowe posiadają derogacje od osiągnięcia celów środowiskowych. Dla wszystkich ww. jednolitych ustalono odstępstwo z art. 4 ust. 4 Ramowej Dyrektywy Wodnej polegające na odroczeniu w czasie terminu osiągnięcia celów środowiskowych. Ponadto wszystkie poza Dopływem spod Ostrowa Kościelnego ustalono odstępstwo z art. 4 ust. 5 Ramowej Dyrektywy Wodnej polegające na złagodzeniu celów środowiskowych, jakim jest ustalenie mniej rygorystycznych celów. Natomiast odstępstwo z art. 4 ust. 7 z uwagi na planowane inwestycje ustalono dla następujących jednolitych: Dopływ spod Ostrowa Kościelnego, Meszna do Strugi Bawół, Struga Bawół od Dopływu z Szemborowa do ujścia, Warta od Powy do Prosny oraz Meszna od Strugi Bawół do ujścia.</w:t>
            </w:r>
          </w:p>
          <w:p w14:paraId="5279E25B" w14:textId="18AC91CB" w:rsidR="00A2760A" w:rsidRPr="00A2760A" w:rsidRDefault="0056338E" w:rsidP="0056338E">
            <w:pPr>
              <w:spacing w:after="200" w:line="276" w:lineRule="auto"/>
              <w:contextualSpacing/>
              <w:jc w:val="both"/>
              <w:rPr>
                <w:rFonts w:ascii="Times New Roman" w:hAnsi="Times New Roman" w:cs="Times New Roman"/>
                <w:lang w:val="pl-PL"/>
              </w:rPr>
            </w:pPr>
            <w:r w:rsidRPr="0056338E">
              <w:rPr>
                <w:rFonts w:ascii="Times New Roman" w:hAnsi="Times New Roman" w:cs="Times New Roman"/>
                <w:lang w:val="pl-PL"/>
              </w:rPr>
              <w:t>W ramach analizowanego obszaru zidentyfikowano dwie jednolite części wód podziemnych: PLGW600061 i PLGW600062. Jednolita część wód PLGW600061 posiada zarówno dobry stan ilościowy jak i dobry stan chemiczny w związku z czym jest niezagrożona pod względem ilościowym jak i chemicznym oraz nie</w:t>
            </w:r>
            <w:r>
              <w:rPr>
                <w:rFonts w:ascii="Times New Roman" w:hAnsi="Times New Roman" w:cs="Times New Roman"/>
                <w:lang w:val="pl-PL"/>
              </w:rPr>
              <w:t xml:space="preserve"> </w:t>
            </w:r>
            <w:r w:rsidRPr="0056338E">
              <w:rPr>
                <w:rFonts w:ascii="Times New Roman" w:hAnsi="Times New Roman" w:cs="Times New Roman"/>
                <w:lang w:val="pl-PL"/>
              </w:rPr>
              <w:t>posiada derogacji. Natomiast jednolita PLGW600062 posiada dobry stan chemiczny ale słaby stan ilościowy. Stan ilościowy jest zagrożony, a chemiczny niezagrożony. Przedmiotowa część wód posiada ustaloną derogację z art. 4 ust. 5 RWD w związku ze stopniem wykorzystania zasobów dostępnych do zagospodarowania.</w:t>
            </w:r>
          </w:p>
        </w:tc>
        <w:tc>
          <w:tcPr>
            <w:tcW w:w="587" w:type="pct"/>
            <w:vAlign w:val="center"/>
          </w:tcPr>
          <w:p w14:paraId="11B7A036" w14:textId="6D305286" w:rsidR="00A2760A" w:rsidRPr="006D54D3" w:rsidRDefault="0043368D" w:rsidP="0043368D">
            <w:pPr>
              <w:spacing w:after="200" w:line="276" w:lineRule="auto"/>
              <w:contextualSpacing/>
              <w:jc w:val="center"/>
              <w:rPr>
                <w:rFonts w:ascii="Times New Roman" w:hAnsi="Times New Roman" w:cs="Times New Roman"/>
                <w:lang w:val="pl-PL"/>
              </w:rPr>
            </w:pPr>
            <w:r>
              <w:rPr>
                <w:rFonts w:ascii="Times New Roman" w:hAnsi="Times New Roman" w:cs="Times New Roman"/>
                <w:lang w:val="pl-PL"/>
              </w:rPr>
              <w:lastRenderedPageBreak/>
              <w:t>Uwzględniono</w:t>
            </w:r>
          </w:p>
        </w:tc>
        <w:tc>
          <w:tcPr>
            <w:tcW w:w="852" w:type="pct"/>
            <w:vAlign w:val="center"/>
          </w:tcPr>
          <w:p w14:paraId="7A373DE6" w14:textId="6E6353AD" w:rsidR="00A2760A" w:rsidRPr="006D54D3" w:rsidRDefault="0056338E" w:rsidP="0043368D">
            <w:pPr>
              <w:spacing w:after="200" w:line="276" w:lineRule="auto"/>
              <w:contextualSpacing/>
              <w:jc w:val="center"/>
              <w:rPr>
                <w:rFonts w:ascii="Times New Roman" w:hAnsi="Times New Roman" w:cs="Times New Roman"/>
                <w:lang w:val="pl-PL"/>
              </w:rPr>
            </w:pPr>
            <w:r>
              <w:rPr>
                <w:rFonts w:ascii="Times New Roman" w:hAnsi="Times New Roman" w:cs="Times New Roman"/>
                <w:lang w:val="pl-PL"/>
              </w:rPr>
              <w:t>Dodano proponowany zapis do dokumentu</w:t>
            </w:r>
          </w:p>
        </w:tc>
      </w:tr>
      <w:tr w:rsidR="0056338E" w:rsidRPr="006D54D3" w14:paraId="223F8DB3" w14:textId="77777777" w:rsidTr="0056338E">
        <w:trPr>
          <w:trHeight w:val="484"/>
        </w:trPr>
        <w:tc>
          <w:tcPr>
            <w:tcW w:w="342" w:type="pct"/>
            <w:vAlign w:val="center"/>
          </w:tcPr>
          <w:p w14:paraId="5B6E6472" w14:textId="77777777" w:rsidR="0056338E" w:rsidRPr="0074329C" w:rsidRDefault="0056338E" w:rsidP="0043368D">
            <w:pPr>
              <w:numPr>
                <w:ilvl w:val="0"/>
                <w:numId w:val="20"/>
              </w:numPr>
              <w:spacing w:after="200" w:line="276" w:lineRule="auto"/>
              <w:contextualSpacing/>
              <w:jc w:val="center"/>
              <w:rPr>
                <w:rFonts w:ascii="Times New Roman" w:hAnsi="Times New Roman" w:cs="Times New Roman"/>
                <w:lang w:val="pl-PL"/>
              </w:rPr>
            </w:pPr>
            <w:bookmarkStart w:id="1" w:name="_Hlk168641796"/>
            <w:bookmarkEnd w:id="0"/>
          </w:p>
        </w:tc>
        <w:tc>
          <w:tcPr>
            <w:tcW w:w="524" w:type="pct"/>
            <w:vAlign w:val="center"/>
          </w:tcPr>
          <w:p w14:paraId="35105610" w14:textId="205688DC" w:rsidR="0056338E" w:rsidRPr="0056338E" w:rsidRDefault="0056338E" w:rsidP="0043368D">
            <w:pPr>
              <w:spacing w:after="200" w:line="276" w:lineRule="auto"/>
              <w:contextualSpacing/>
              <w:jc w:val="center"/>
              <w:rPr>
                <w:rFonts w:ascii="Times New Roman" w:hAnsi="Times New Roman" w:cs="Times New Roman"/>
              </w:rPr>
            </w:pPr>
            <w:proofErr w:type="spellStart"/>
            <w:r>
              <w:rPr>
                <w:rFonts w:ascii="Times New Roman" w:hAnsi="Times New Roman" w:cs="Times New Roman"/>
              </w:rPr>
              <w:t>Uwaga</w:t>
            </w:r>
            <w:proofErr w:type="spellEnd"/>
            <w:r>
              <w:rPr>
                <w:rFonts w:ascii="Times New Roman" w:hAnsi="Times New Roman" w:cs="Times New Roman"/>
              </w:rPr>
              <w:t xml:space="preserve"> </w:t>
            </w:r>
            <w:proofErr w:type="spellStart"/>
            <w:r>
              <w:rPr>
                <w:rFonts w:ascii="Times New Roman" w:hAnsi="Times New Roman" w:cs="Times New Roman"/>
              </w:rPr>
              <w:t>ogólna</w:t>
            </w:r>
            <w:proofErr w:type="spellEnd"/>
          </w:p>
        </w:tc>
        <w:tc>
          <w:tcPr>
            <w:tcW w:w="898" w:type="pct"/>
            <w:vAlign w:val="center"/>
          </w:tcPr>
          <w:p w14:paraId="4EC265D3" w14:textId="32CD18A5" w:rsidR="0056338E" w:rsidRPr="0056338E" w:rsidRDefault="0056338E" w:rsidP="0056338E">
            <w:pPr>
              <w:spacing w:after="200" w:line="276" w:lineRule="auto"/>
              <w:contextualSpacing/>
              <w:jc w:val="center"/>
              <w:rPr>
                <w:rFonts w:ascii="Times New Roman" w:hAnsi="Times New Roman" w:cs="Times New Roman"/>
              </w:rPr>
            </w:pPr>
            <w:r>
              <w:rPr>
                <w:rFonts w:ascii="Times New Roman" w:hAnsi="Times New Roman" w:cs="Times New Roman"/>
              </w:rPr>
              <w:t>-</w:t>
            </w:r>
          </w:p>
        </w:tc>
        <w:tc>
          <w:tcPr>
            <w:tcW w:w="1797" w:type="pct"/>
            <w:vAlign w:val="center"/>
          </w:tcPr>
          <w:p w14:paraId="77D963DE" w14:textId="77777777" w:rsidR="0056338E" w:rsidRPr="0074329C" w:rsidRDefault="0056338E" w:rsidP="0056338E">
            <w:pPr>
              <w:spacing w:after="200" w:line="276" w:lineRule="auto"/>
              <w:contextualSpacing/>
              <w:jc w:val="both"/>
              <w:rPr>
                <w:rFonts w:ascii="Times New Roman" w:hAnsi="Times New Roman" w:cs="Times New Roman"/>
                <w:lang w:val="pl-PL"/>
              </w:rPr>
            </w:pPr>
            <w:r w:rsidRPr="0074329C">
              <w:rPr>
                <w:rFonts w:ascii="Times New Roman" w:hAnsi="Times New Roman" w:cs="Times New Roman"/>
                <w:lang w:val="pl-PL"/>
              </w:rPr>
              <w:t>Gmina Słupca, znajduje się:</w:t>
            </w:r>
          </w:p>
          <w:p w14:paraId="69D93C26" w14:textId="77777777" w:rsidR="0056338E" w:rsidRPr="0074329C" w:rsidRDefault="0056338E" w:rsidP="0056338E">
            <w:pPr>
              <w:spacing w:after="200" w:line="276" w:lineRule="auto"/>
              <w:contextualSpacing/>
              <w:jc w:val="both"/>
              <w:rPr>
                <w:rFonts w:ascii="Times New Roman" w:hAnsi="Times New Roman" w:cs="Times New Roman"/>
                <w:lang w:val="pl-PL"/>
              </w:rPr>
            </w:pPr>
            <w:r w:rsidRPr="0074329C">
              <w:rPr>
                <w:rFonts w:ascii="Times New Roman" w:hAnsi="Times New Roman" w:cs="Times New Roman"/>
                <w:lang w:val="pl-PL"/>
              </w:rPr>
              <w:t>a) na obszarze szczególnego zagrożenia powodzią, tj. obszarze, na którym prawdopodobieństwo wystąpienia powodzi jest średnie i wynosi p=1%,</w:t>
            </w:r>
          </w:p>
          <w:p w14:paraId="4DE56B6D" w14:textId="77777777" w:rsidR="0056338E" w:rsidRPr="0074329C" w:rsidRDefault="0056338E" w:rsidP="0056338E">
            <w:pPr>
              <w:spacing w:after="200" w:line="276" w:lineRule="auto"/>
              <w:contextualSpacing/>
              <w:jc w:val="both"/>
              <w:rPr>
                <w:rFonts w:ascii="Times New Roman" w:hAnsi="Times New Roman" w:cs="Times New Roman"/>
                <w:lang w:val="pl-PL"/>
              </w:rPr>
            </w:pPr>
            <w:r w:rsidRPr="0074329C">
              <w:rPr>
                <w:rFonts w:ascii="Times New Roman" w:hAnsi="Times New Roman" w:cs="Times New Roman"/>
                <w:lang w:val="pl-PL"/>
              </w:rPr>
              <w:t>b) na obszarze, na którym prawdopodobieństwo wystąpienia powodzi jest wysokie i wynosi p=10%,</w:t>
            </w:r>
          </w:p>
          <w:p w14:paraId="75570478" w14:textId="77777777" w:rsidR="0056338E" w:rsidRPr="0074329C" w:rsidRDefault="0056338E" w:rsidP="0056338E">
            <w:pPr>
              <w:spacing w:after="200" w:line="276" w:lineRule="auto"/>
              <w:contextualSpacing/>
              <w:jc w:val="both"/>
              <w:rPr>
                <w:rFonts w:ascii="Times New Roman" w:hAnsi="Times New Roman" w:cs="Times New Roman"/>
                <w:lang w:val="pl-PL"/>
              </w:rPr>
            </w:pPr>
            <w:r w:rsidRPr="0074329C">
              <w:rPr>
                <w:rFonts w:ascii="Times New Roman" w:hAnsi="Times New Roman" w:cs="Times New Roman"/>
                <w:lang w:val="pl-PL"/>
              </w:rPr>
              <w:t>c) poza obszarem szczególnego zagrożenia powodzią, tj. obszarze między linią brzegu, a wałem przeciwpowodziowym lub naturalnym wysokim brzegiem, w który wbudowano wał przeciwpowodziowy, a także wyspy i przymuliska, o których mowa w art. 224, stanowiące działki ewidencyjne,</w:t>
            </w:r>
          </w:p>
          <w:p w14:paraId="26536190" w14:textId="77777777" w:rsidR="0056338E" w:rsidRPr="0074329C" w:rsidRDefault="0056338E" w:rsidP="0056338E">
            <w:pPr>
              <w:spacing w:after="200" w:line="276" w:lineRule="auto"/>
              <w:contextualSpacing/>
              <w:jc w:val="both"/>
              <w:rPr>
                <w:rFonts w:ascii="Times New Roman" w:hAnsi="Times New Roman" w:cs="Times New Roman"/>
                <w:lang w:val="pl-PL"/>
              </w:rPr>
            </w:pPr>
            <w:r w:rsidRPr="0074329C">
              <w:rPr>
                <w:rFonts w:ascii="Times New Roman" w:hAnsi="Times New Roman" w:cs="Times New Roman"/>
                <w:lang w:val="pl-PL"/>
              </w:rPr>
              <w:t>d) na obszarze, na którym prawdopodobieństwo wystąpienia powodzi jest niskie i wynosi p=0,2%,</w:t>
            </w:r>
          </w:p>
          <w:p w14:paraId="67D28F6D" w14:textId="77777777" w:rsidR="0056338E" w:rsidRPr="0074329C" w:rsidRDefault="0056338E" w:rsidP="0056338E">
            <w:pPr>
              <w:spacing w:after="200" w:line="276" w:lineRule="auto"/>
              <w:contextualSpacing/>
              <w:jc w:val="both"/>
              <w:rPr>
                <w:rFonts w:ascii="Times New Roman" w:hAnsi="Times New Roman" w:cs="Times New Roman"/>
                <w:lang w:val="pl-PL"/>
              </w:rPr>
            </w:pPr>
            <w:r w:rsidRPr="0074329C">
              <w:rPr>
                <w:rFonts w:ascii="Times New Roman" w:hAnsi="Times New Roman" w:cs="Times New Roman"/>
                <w:lang w:val="pl-PL"/>
              </w:rPr>
              <w:t>e) poza obszarem narażonym na zalanie w przypadku zniszczenia lub uszkodzenia wału przeciwpowodziowego.</w:t>
            </w:r>
          </w:p>
          <w:p w14:paraId="13D538B2" w14:textId="77777777" w:rsidR="0056338E" w:rsidRPr="0074329C" w:rsidRDefault="0056338E" w:rsidP="0056338E">
            <w:pPr>
              <w:spacing w:after="200" w:line="276" w:lineRule="auto"/>
              <w:contextualSpacing/>
              <w:jc w:val="both"/>
              <w:rPr>
                <w:rFonts w:ascii="Times New Roman" w:hAnsi="Times New Roman" w:cs="Times New Roman"/>
                <w:lang w:val="pl-PL"/>
              </w:rPr>
            </w:pPr>
            <w:r w:rsidRPr="0074329C">
              <w:rPr>
                <w:rFonts w:ascii="Times New Roman" w:hAnsi="Times New Roman" w:cs="Times New Roman"/>
                <w:lang w:val="pl-PL"/>
              </w:rPr>
              <w:t xml:space="preserve">Zgodnie z art. 172 ustawy z dnia 20 lipca 2017 r. Prawo wodne (Dz. U. z 2023 r., poz. 1478 ze zm.) na podstawie map zagrożenia powodziowego i map ryzyka powodziowego przygotowuje się – z uwzględnieniem podziału kraju na obszary dorzeczy oraz regiony wodne – plany zarządzania ryzykiem powodziowym (PZRP). Dokumenty te obejmują wszystkie elementy zarządzania ryzykiem powodziowym, określone w art. 163 ust. 6 przedmiotowej ustawy, w szczególności działania służące zapobieganiu powodzi, ochronie przed powodzią oraz informacji na temat stanu należytego przygotowania w przypadku wystąpienia powodzi. Głównym celem PZRP jest ograniczenie potencjalnych negatywnych </w:t>
            </w:r>
            <w:r w:rsidRPr="0074329C">
              <w:rPr>
                <w:rFonts w:ascii="Times New Roman" w:hAnsi="Times New Roman" w:cs="Times New Roman"/>
                <w:lang w:val="pl-PL"/>
              </w:rPr>
              <w:lastRenderedPageBreak/>
              <w:t>skutków powodzi dla życia i zdrowia ludzi, środowiska, dziedzictwa kulturowego oraz działalności gospodarczej poprzez realizację działań służących minimalizacji zidentyfikowanych zagrożeń i obniżeniu strat powodziowych.</w:t>
            </w:r>
          </w:p>
          <w:p w14:paraId="75ECADF2" w14:textId="77777777" w:rsidR="0056338E" w:rsidRPr="0074329C" w:rsidRDefault="0056338E" w:rsidP="0056338E">
            <w:pPr>
              <w:spacing w:after="200" w:line="276" w:lineRule="auto"/>
              <w:contextualSpacing/>
              <w:jc w:val="both"/>
              <w:rPr>
                <w:rFonts w:ascii="Times New Roman" w:hAnsi="Times New Roman" w:cs="Times New Roman"/>
                <w:lang w:val="pl-PL"/>
              </w:rPr>
            </w:pPr>
            <w:r w:rsidRPr="0074329C">
              <w:rPr>
                <w:rFonts w:ascii="Times New Roman" w:hAnsi="Times New Roman" w:cs="Times New Roman"/>
                <w:lang w:val="pl-PL"/>
              </w:rPr>
              <w:t>Plany zarządzania ryzykiem powodziowym zostają przyjęte w drodze rozporządzenia wydanego przez ministra właściwego do spraw gospodarki wodnej. Podlegają one przeglądowi co 6 lat, a w razie potrzeby zostaje dokonana ich aktualizacja.</w:t>
            </w:r>
          </w:p>
          <w:p w14:paraId="12C92A78" w14:textId="13DA2057" w:rsidR="0056338E" w:rsidRPr="0074329C" w:rsidRDefault="0056338E" w:rsidP="0056338E">
            <w:pPr>
              <w:spacing w:after="200" w:line="276" w:lineRule="auto"/>
              <w:contextualSpacing/>
              <w:jc w:val="both"/>
              <w:rPr>
                <w:rFonts w:ascii="Times New Roman" w:hAnsi="Times New Roman" w:cs="Times New Roman"/>
                <w:lang w:val="pl-PL"/>
              </w:rPr>
            </w:pPr>
            <w:r w:rsidRPr="0074329C">
              <w:rPr>
                <w:rFonts w:ascii="Times New Roman" w:hAnsi="Times New Roman" w:cs="Times New Roman"/>
                <w:lang w:val="pl-PL"/>
              </w:rPr>
              <w:t>Aktualnie do przedmiotowego terenu odnosi się Plan zarządzania ryzykiem powodziowym dla obszaru dorzecza Odry, zawierający w treści Plan zarządzania ryzykiem powodziowym dla regionu wodnego Warty, przyjęty Rozporządzeniem Rady Ministrów z dnia 26 października 2022 r., opublikowany w dniu 22 grudnia 2022 r. (Dz. U. poz. 2714) – dostępny w całości pod adresem: https://dziennikustaw.gov.pl/DU/rok/2022/pozycja/2714</w:t>
            </w:r>
          </w:p>
        </w:tc>
        <w:tc>
          <w:tcPr>
            <w:tcW w:w="587" w:type="pct"/>
            <w:vAlign w:val="center"/>
          </w:tcPr>
          <w:p w14:paraId="4A6EF6C4" w14:textId="1071449A" w:rsidR="0056338E" w:rsidRDefault="0056338E" w:rsidP="0043368D">
            <w:pPr>
              <w:spacing w:after="200" w:line="276" w:lineRule="auto"/>
              <w:contextualSpacing/>
              <w:jc w:val="center"/>
              <w:rPr>
                <w:rFonts w:ascii="Times New Roman" w:hAnsi="Times New Roman" w:cs="Times New Roman"/>
              </w:rPr>
            </w:pPr>
            <w:proofErr w:type="spellStart"/>
            <w:r>
              <w:rPr>
                <w:rFonts w:ascii="Times New Roman" w:hAnsi="Times New Roman" w:cs="Times New Roman"/>
              </w:rPr>
              <w:lastRenderedPageBreak/>
              <w:t>Uw</w:t>
            </w:r>
            <w:r w:rsidR="004A4B1D">
              <w:rPr>
                <w:rFonts w:ascii="Times New Roman" w:hAnsi="Times New Roman" w:cs="Times New Roman"/>
              </w:rPr>
              <w:t>zg</w:t>
            </w:r>
            <w:r>
              <w:rPr>
                <w:rFonts w:ascii="Times New Roman" w:hAnsi="Times New Roman" w:cs="Times New Roman"/>
              </w:rPr>
              <w:t>lędniono</w:t>
            </w:r>
            <w:proofErr w:type="spellEnd"/>
          </w:p>
        </w:tc>
        <w:tc>
          <w:tcPr>
            <w:tcW w:w="852" w:type="pct"/>
            <w:vAlign w:val="center"/>
          </w:tcPr>
          <w:p w14:paraId="1DFD8762" w14:textId="77777777" w:rsidR="0056338E" w:rsidRDefault="0056338E" w:rsidP="0043368D">
            <w:pPr>
              <w:spacing w:after="200" w:line="276" w:lineRule="auto"/>
              <w:contextualSpacing/>
              <w:jc w:val="center"/>
              <w:rPr>
                <w:rFonts w:ascii="Times New Roman" w:hAnsi="Times New Roman" w:cs="Times New Roman"/>
              </w:rPr>
            </w:pPr>
          </w:p>
        </w:tc>
      </w:tr>
      <w:bookmarkEnd w:id="1"/>
      <w:tr w:rsidR="0056338E" w:rsidRPr="006D54D3" w14:paraId="521D480E" w14:textId="77777777" w:rsidTr="0056338E">
        <w:trPr>
          <w:trHeight w:val="484"/>
        </w:trPr>
        <w:tc>
          <w:tcPr>
            <w:tcW w:w="342" w:type="pct"/>
            <w:vAlign w:val="center"/>
          </w:tcPr>
          <w:p w14:paraId="389C5EDF" w14:textId="77777777" w:rsidR="0056338E" w:rsidRPr="00A2760A" w:rsidRDefault="0056338E" w:rsidP="0043368D">
            <w:pPr>
              <w:numPr>
                <w:ilvl w:val="0"/>
                <w:numId w:val="20"/>
              </w:numPr>
              <w:spacing w:after="200" w:line="276" w:lineRule="auto"/>
              <w:contextualSpacing/>
              <w:jc w:val="center"/>
              <w:rPr>
                <w:rFonts w:ascii="Times New Roman" w:hAnsi="Times New Roman" w:cs="Times New Roman"/>
              </w:rPr>
            </w:pPr>
          </w:p>
        </w:tc>
        <w:tc>
          <w:tcPr>
            <w:tcW w:w="524" w:type="pct"/>
            <w:vAlign w:val="center"/>
          </w:tcPr>
          <w:p w14:paraId="61F05771" w14:textId="368D6234" w:rsidR="0056338E" w:rsidRDefault="0056338E" w:rsidP="0043368D">
            <w:pPr>
              <w:spacing w:after="200" w:line="276" w:lineRule="auto"/>
              <w:contextualSpacing/>
              <w:jc w:val="center"/>
              <w:rPr>
                <w:rFonts w:ascii="Times New Roman" w:hAnsi="Times New Roman" w:cs="Times New Roman"/>
              </w:rPr>
            </w:pPr>
            <w:proofErr w:type="spellStart"/>
            <w:r>
              <w:rPr>
                <w:rFonts w:ascii="Times New Roman" w:hAnsi="Times New Roman" w:cs="Times New Roman"/>
              </w:rPr>
              <w:t>Uwaga</w:t>
            </w:r>
            <w:proofErr w:type="spellEnd"/>
            <w:r>
              <w:rPr>
                <w:rFonts w:ascii="Times New Roman" w:hAnsi="Times New Roman" w:cs="Times New Roman"/>
              </w:rPr>
              <w:t xml:space="preserve"> </w:t>
            </w:r>
            <w:proofErr w:type="spellStart"/>
            <w:r>
              <w:rPr>
                <w:rFonts w:ascii="Times New Roman" w:hAnsi="Times New Roman" w:cs="Times New Roman"/>
              </w:rPr>
              <w:t>ogólna</w:t>
            </w:r>
            <w:proofErr w:type="spellEnd"/>
          </w:p>
        </w:tc>
        <w:tc>
          <w:tcPr>
            <w:tcW w:w="898" w:type="pct"/>
            <w:vAlign w:val="center"/>
          </w:tcPr>
          <w:p w14:paraId="5C57805C" w14:textId="68FD452C" w:rsidR="0056338E" w:rsidRDefault="0056338E" w:rsidP="0056338E">
            <w:pPr>
              <w:spacing w:after="200" w:line="276" w:lineRule="auto"/>
              <w:contextualSpacing/>
              <w:jc w:val="center"/>
              <w:rPr>
                <w:rFonts w:ascii="Times New Roman" w:hAnsi="Times New Roman" w:cs="Times New Roman"/>
              </w:rPr>
            </w:pPr>
            <w:r>
              <w:rPr>
                <w:rFonts w:ascii="Times New Roman" w:hAnsi="Times New Roman" w:cs="Times New Roman"/>
              </w:rPr>
              <w:t>-</w:t>
            </w:r>
          </w:p>
        </w:tc>
        <w:tc>
          <w:tcPr>
            <w:tcW w:w="1797" w:type="pct"/>
            <w:vAlign w:val="center"/>
          </w:tcPr>
          <w:p w14:paraId="33BC0CDB" w14:textId="77777777" w:rsidR="0056338E" w:rsidRPr="0074329C" w:rsidRDefault="0056338E" w:rsidP="0056338E">
            <w:pPr>
              <w:spacing w:after="200" w:line="276" w:lineRule="auto"/>
              <w:contextualSpacing/>
              <w:jc w:val="both"/>
              <w:rPr>
                <w:rFonts w:ascii="Times New Roman" w:hAnsi="Times New Roman" w:cs="Times New Roman"/>
                <w:lang w:val="pl-PL"/>
              </w:rPr>
            </w:pPr>
            <w:bookmarkStart w:id="2" w:name="_Hlk168641939"/>
            <w:r w:rsidRPr="0074329C">
              <w:rPr>
                <w:rFonts w:ascii="Times New Roman" w:hAnsi="Times New Roman" w:cs="Times New Roman"/>
                <w:lang w:val="pl-PL"/>
              </w:rPr>
              <w:t xml:space="preserve">Przeciwdziałanie skutkom suszy, zgodnie z art. 183 oraz 185 ustawy z dnia 20 lipca 2017 r. Prawo wodne (Dz.U. z 2023 r., poz. 1478 ze zm.), prowadzi się zgodnie z planem przeciwdziałania skutkom suszy, który uwzględnia podział kraju na obszary dorzeczy. Plan przeciwdziałania skutkom suszy zawiera analizę możliwości powiększenia dyspozycyjnych zasobów wodnych, propozycje budowy lub przebudowy urządzeń wodnych, propozycje niezbędnych zmian w zakresie korzystania z zasobów wodnych oraz zmian naturalnej i sztucznej retencji, jak również katalog działań służących przeciwdziałaniu skutkom suszy. Minister właściwy do </w:t>
            </w:r>
            <w:r w:rsidRPr="0074329C">
              <w:rPr>
                <w:rFonts w:ascii="Times New Roman" w:hAnsi="Times New Roman" w:cs="Times New Roman"/>
                <w:lang w:val="pl-PL"/>
              </w:rPr>
              <w:lastRenderedPageBreak/>
              <w:t>spraw gospodarki wodnej przyjmuje i aktualizuje plan przeciwdziałania skutkom suszy, w drodze rozporządzenia, kierując się koniecznością przeciwdziałania skutkom suszy. Aktualizacji planu przeciwdziałania skutkom suszy dokonuje się nie rzadziej niż co 6 lat.</w:t>
            </w:r>
          </w:p>
          <w:p w14:paraId="61DFA511" w14:textId="77777777" w:rsidR="0056338E" w:rsidRPr="0074329C" w:rsidRDefault="0056338E" w:rsidP="0056338E">
            <w:pPr>
              <w:spacing w:after="200" w:line="276" w:lineRule="auto"/>
              <w:contextualSpacing/>
              <w:jc w:val="both"/>
              <w:rPr>
                <w:rFonts w:ascii="Times New Roman" w:hAnsi="Times New Roman" w:cs="Times New Roman"/>
                <w:lang w:val="pl-PL"/>
              </w:rPr>
            </w:pPr>
            <w:r w:rsidRPr="0074329C">
              <w:rPr>
                <w:rFonts w:ascii="Times New Roman" w:hAnsi="Times New Roman" w:cs="Times New Roman"/>
                <w:lang w:val="pl-PL"/>
              </w:rPr>
              <w:t>3 września 2021 roku Minister właściwy ds. gospodarki wodnej opublikował rozporządzenie w sprawie przyjęcia Planu przeciwdziałania skutkom suszy (Rozporządzenie Ministra Infrastruktury z dnia 15 lipca 2021 r. w sprawie przyjęcia Planu przeciwdziałania skutkom suszy, Dz. U. z 2021 r. poz. 1615). Obowiązujący Plan przeciwdziałania skutkom suszy dostępny jest na stronie https://stopsuszy.pl/projekt-planu-przeciwdzialania-skutkom-suszy/</w:t>
            </w:r>
          </w:p>
          <w:p w14:paraId="5BCC74D6" w14:textId="77777777" w:rsidR="0056338E" w:rsidRPr="0074329C" w:rsidRDefault="0056338E" w:rsidP="0056338E">
            <w:pPr>
              <w:spacing w:after="200" w:line="276" w:lineRule="auto"/>
              <w:contextualSpacing/>
              <w:jc w:val="both"/>
              <w:rPr>
                <w:rFonts w:ascii="Times New Roman" w:hAnsi="Times New Roman" w:cs="Times New Roman"/>
                <w:lang w:val="pl-PL"/>
              </w:rPr>
            </w:pPr>
            <w:r w:rsidRPr="0074329C">
              <w:rPr>
                <w:rFonts w:ascii="Times New Roman" w:hAnsi="Times New Roman" w:cs="Times New Roman"/>
                <w:lang w:val="pl-PL"/>
              </w:rPr>
              <w:t>Należy mieć na uwadze, że zgodnie z wytycznymi Komisji Europejskiej należy promować i w pierwszej kolejności rozważać działania zakładające naturalne metody retencji a budowanie retencji sztucznej należy traktować jako działania ostatecznego wyboru, w sytuacji, gdy przeanalizowano wszystkie możliwe warianty, bardziej korzystne ze środowiskowego punktu widzenia (zgodność z art. 68 ustawy – Prawo wodne). Planowanie nowych działań inwestycyjnych w gospodarce wodnej, kształtowanie sztucznej retencji musi być poprzedzone szeregiem analiz, a dotyczące ich warunki i procedury muszą być zgodne z aktualnie obowiązującymi przepisami środowiskowymi, jak też być adekwatne do potrzeb w zakresie kształtowania retencji.</w:t>
            </w:r>
          </w:p>
          <w:p w14:paraId="4DAB12A7" w14:textId="77777777" w:rsidR="0056338E" w:rsidRPr="0074329C" w:rsidRDefault="0056338E" w:rsidP="0056338E">
            <w:pPr>
              <w:spacing w:after="200" w:line="276" w:lineRule="auto"/>
              <w:contextualSpacing/>
              <w:jc w:val="both"/>
              <w:rPr>
                <w:rFonts w:ascii="Times New Roman" w:hAnsi="Times New Roman" w:cs="Times New Roman"/>
                <w:lang w:val="pl-PL"/>
              </w:rPr>
            </w:pPr>
            <w:r w:rsidRPr="0074329C">
              <w:rPr>
                <w:rFonts w:ascii="Times New Roman" w:hAnsi="Times New Roman" w:cs="Times New Roman"/>
                <w:lang w:val="pl-PL"/>
              </w:rPr>
              <w:lastRenderedPageBreak/>
              <w:t>Proponuje się uzupełnienie zapisów w Strategii w zakresie dotyczącym występowania suszy na terenie Gminy Słupca.</w:t>
            </w:r>
          </w:p>
          <w:p w14:paraId="36F77380" w14:textId="77777777" w:rsidR="0056338E" w:rsidRPr="0074329C" w:rsidRDefault="0056338E" w:rsidP="0056338E">
            <w:pPr>
              <w:spacing w:after="200" w:line="276" w:lineRule="auto"/>
              <w:contextualSpacing/>
              <w:jc w:val="both"/>
              <w:rPr>
                <w:rFonts w:ascii="Times New Roman" w:hAnsi="Times New Roman" w:cs="Times New Roman"/>
                <w:lang w:val="pl-PL"/>
              </w:rPr>
            </w:pPr>
            <w:bookmarkStart w:id="3" w:name="_Hlk168641997"/>
            <w:bookmarkEnd w:id="2"/>
            <w:r w:rsidRPr="0074329C">
              <w:rPr>
                <w:rFonts w:ascii="Times New Roman" w:hAnsi="Times New Roman" w:cs="Times New Roman"/>
                <w:lang w:val="pl-PL"/>
              </w:rPr>
              <w:t>Gmina Słupca położona jest:</w:t>
            </w:r>
          </w:p>
          <w:p w14:paraId="4E16BF61" w14:textId="77777777" w:rsidR="0056338E" w:rsidRPr="0074329C" w:rsidRDefault="0056338E" w:rsidP="0056338E">
            <w:pPr>
              <w:spacing w:after="200" w:line="276" w:lineRule="auto"/>
              <w:contextualSpacing/>
              <w:jc w:val="both"/>
              <w:rPr>
                <w:rFonts w:ascii="Times New Roman" w:hAnsi="Times New Roman" w:cs="Times New Roman"/>
                <w:lang w:val="pl-PL"/>
              </w:rPr>
            </w:pPr>
            <w:r w:rsidRPr="0074329C">
              <w:rPr>
                <w:rFonts w:ascii="Times New Roman" w:hAnsi="Times New Roman" w:cs="Times New Roman"/>
                <w:lang w:val="pl-PL"/>
              </w:rPr>
              <w:t>- w całości na terenie ekstremalnie zagrożonym występowaniem suszy atmosferycznej,</w:t>
            </w:r>
          </w:p>
          <w:p w14:paraId="59B8C9D3" w14:textId="77777777" w:rsidR="0056338E" w:rsidRPr="0074329C" w:rsidRDefault="0056338E" w:rsidP="0056338E">
            <w:pPr>
              <w:spacing w:after="200" w:line="276" w:lineRule="auto"/>
              <w:contextualSpacing/>
              <w:jc w:val="both"/>
              <w:rPr>
                <w:rFonts w:ascii="Times New Roman" w:hAnsi="Times New Roman" w:cs="Times New Roman"/>
                <w:lang w:val="pl-PL"/>
              </w:rPr>
            </w:pPr>
            <w:r w:rsidRPr="0074329C">
              <w:rPr>
                <w:rFonts w:ascii="Times New Roman" w:hAnsi="Times New Roman" w:cs="Times New Roman"/>
                <w:lang w:val="pl-PL"/>
              </w:rPr>
              <w:t>- w całości na terenie na terenie umiarkowanie zagrożonym występowaniem suszy hydrologicznej,</w:t>
            </w:r>
          </w:p>
          <w:p w14:paraId="21237879" w14:textId="77777777" w:rsidR="0056338E" w:rsidRPr="0074329C" w:rsidRDefault="0056338E" w:rsidP="0056338E">
            <w:pPr>
              <w:spacing w:after="200" w:line="276" w:lineRule="auto"/>
              <w:contextualSpacing/>
              <w:jc w:val="both"/>
              <w:rPr>
                <w:rFonts w:ascii="Times New Roman" w:hAnsi="Times New Roman" w:cs="Times New Roman"/>
                <w:lang w:val="pl-PL"/>
              </w:rPr>
            </w:pPr>
            <w:r w:rsidRPr="0074329C">
              <w:rPr>
                <w:rFonts w:ascii="Times New Roman" w:hAnsi="Times New Roman" w:cs="Times New Roman"/>
                <w:lang w:val="pl-PL"/>
              </w:rPr>
              <w:t>- w całości na terenie ekstremalnie zagrożonym występowaniem suszy rolniczej,</w:t>
            </w:r>
          </w:p>
          <w:p w14:paraId="68D1851C" w14:textId="77777777" w:rsidR="0056338E" w:rsidRPr="0074329C" w:rsidRDefault="0056338E" w:rsidP="0056338E">
            <w:pPr>
              <w:spacing w:after="200" w:line="276" w:lineRule="auto"/>
              <w:contextualSpacing/>
              <w:jc w:val="both"/>
              <w:rPr>
                <w:rFonts w:ascii="Times New Roman" w:hAnsi="Times New Roman" w:cs="Times New Roman"/>
                <w:lang w:val="pl-PL"/>
              </w:rPr>
            </w:pPr>
            <w:r w:rsidRPr="0074329C">
              <w:rPr>
                <w:rFonts w:ascii="Times New Roman" w:hAnsi="Times New Roman" w:cs="Times New Roman"/>
                <w:lang w:val="pl-PL"/>
              </w:rPr>
              <w:t>- w części wschodniej na terenie słabo zagrożonym występowaniem suszy hydrogeologicznej, w części zachodniej umiarkowanie zagrożonym występowaniem suszy hydrogeologicznej.</w:t>
            </w:r>
          </w:p>
          <w:p w14:paraId="48EC6421" w14:textId="77777777" w:rsidR="0056338E" w:rsidRPr="0074329C" w:rsidRDefault="0056338E" w:rsidP="0056338E">
            <w:pPr>
              <w:spacing w:after="200" w:line="276" w:lineRule="auto"/>
              <w:contextualSpacing/>
              <w:jc w:val="both"/>
              <w:rPr>
                <w:rFonts w:ascii="Times New Roman" w:hAnsi="Times New Roman" w:cs="Times New Roman"/>
                <w:lang w:val="pl-PL"/>
              </w:rPr>
            </w:pPr>
            <w:r w:rsidRPr="0074329C">
              <w:rPr>
                <w:rFonts w:ascii="Times New Roman" w:hAnsi="Times New Roman" w:cs="Times New Roman"/>
                <w:lang w:val="pl-PL"/>
              </w:rPr>
              <w:t>W łącznym zestawieniu Gmina Słupca klasyfikuje się w całości jako obszar silnie zagrożony suszą.</w:t>
            </w:r>
          </w:p>
          <w:p w14:paraId="23E4425C" w14:textId="2FCA217A" w:rsidR="0056338E" w:rsidRPr="0074329C" w:rsidRDefault="0056338E" w:rsidP="0056338E">
            <w:pPr>
              <w:spacing w:after="200" w:line="276" w:lineRule="auto"/>
              <w:contextualSpacing/>
              <w:jc w:val="both"/>
              <w:rPr>
                <w:rFonts w:ascii="Times New Roman" w:hAnsi="Times New Roman" w:cs="Times New Roman"/>
                <w:lang w:val="pl-PL"/>
              </w:rPr>
            </w:pPr>
            <w:r w:rsidRPr="0074329C">
              <w:rPr>
                <w:rFonts w:ascii="Times New Roman" w:hAnsi="Times New Roman" w:cs="Times New Roman"/>
                <w:lang w:val="pl-PL"/>
              </w:rPr>
              <w:t>Wszelkie działania należy realizować z uwzględnieniem zapisów planów zarządzania ryzykiem powodziowym i planu przeciwdziałania skutkom suszy.</w:t>
            </w:r>
            <w:bookmarkEnd w:id="3"/>
          </w:p>
        </w:tc>
        <w:tc>
          <w:tcPr>
            <w:tcW w:w="587" w:type="pct"/>
            <w:vAlign w:val="center"/>
          </w:tcPr>
          <w:p w14:paraId="06D27D58" w14:textId="53D9A7BE" w:rsidR="0056338E" w:rsidRDefault="0056338E" w:rsidP="0043368D">
            <w:pPr>
              <w:spacing w:after="200" w:line="276" w:lineRule="auto"/>
              <w:contextualSpacing/>
              <w:jc w:val="center"/>
              <w:rPr>
                <w:rFonts w:ascii="Times New Roman" w:hAnsi="Times New Roman" w:cs="Times New Roman"/>
              </w:rPr>
            </w:pPr>
            <w:proofErr w:type="spellStart"/>
            <w:r>
              <w:rPr>
                <w:rFonts w:ascii="Times New Roman" w:hAnsi="Times New Roman" w:cs="Times New Roman"/>
              </w:rPr>
              <w:lastRenderedPageBreak/>
              <w:t>Uwzględniono</w:t>
            </w:r>
            <w:proofErr w:type="spellEnd"/>
          </w:p>
        </w:tc>
        <w:tc>
          <w:tcPr>
            <w:tcW w:w="852" w:type="pct"/>
            <w:vAlign w:val="center"/>
          </w:tcPr>
          <w:p w14:paraId="541F5C1B" w14:textId="77777777" w:rsidR="0056338E" w:rsidRDefault="0056338E" w:rsidP="0043368D">
            <w:pPr>
              <w:spacing w:after="200" w:line="276" w:lineRule="auto"/>
              <w:contextualSpacing/>
              <w:jc w:val="center"/>
              <w:rPr>
                <w:rFonts w:ascii="Times New Roman" w:hAnsi="Times New Roman" w:cs="Times New Roman"/>
              </w:rPr>
            </w:pPr>
          </w:p>
        </w:tc>
      </w:tr>
    </w:tbl>
    <w:p w14:paraId="1B59EADC" w14:textId="261014D6" w:rsidR="006D54D3" w:rsidRPr="006D54D3" w:rsidRDefault="006D54D3" w:rsidP="006D54D3">
      <w:pPr>
        <w:jc w:val="both"/>
        <w:rPr>
          <w:rFonts w:ascii="Times New Roman" w:hAnsi="Times New Roman" w:cs="Times New Roman"/>
          <w:sz w:val="24"/>
          <w:szCs w:val="24"/>
        </w:rPr>
      </w:pPr>
      <w:r w:rsidRPr="006D54D3">
        <w:rPr>
          <w:rFonts w:ascii="Times New Roman" w:hAnsi="Times New Roman" w:cs="Times New Roman"/>
          <w:sz w:val="24"/>
          <w:szCs w:val="24"/>
        </w:rPr>
        <w:lastRenderedPageBreak/>
        <w:t>Dziękujemy wszystkim za zaangażowanie w toku konsultacji społecznych.</w:t>
      </w:r>
    </w:p>
    <w:sectPr w:rsidR="006D54D3" w:rsidRPr="006D54D3" w:rsidSect="00C179AA">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D7023"/>
    <w:multiLevelType w:val="hybridMultilevel"/>
    <w:tmpl w:val="28A6E0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2C0EA6"/>
    <w:multiLevelType w:val="hybridMultilevel"/>
    <w:tmpl w:val="381E4E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7133B2"/>
    <w:multiLevelType w:val="hybridMultilevel"/>
    <w:tmpl w:val="FA6C9A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F019C5"/>
    <w:multiLevelType w:val="hybridMultilevel"/>
    <w:tmpl w:val="80ACD2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DB50C2"/>
    <w:multiLevelType w:val="hybridMultilevel"/>
    <w:tmpl w:val="EAD821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3B80E36"/>
    <w:multiLevelType w:val="hybridMultilevel"/>
    <w:tmpl w:val="FCAC0D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B952DC"/>
    <w:multiLevelType w:val="hybridMultilevel"/>
    <w:tmpl w:val="F06E37BA"/>
    <w:lvl w:ilvl="0" w:tplc="47DC4C1A">
      <w:start w:val="1"/>
      <w:numFmt w:val="decimal"/>
      <w:lvlText w:val="%1)"/>
      <w:lvlJc w:val="left"/>
      <w:pPr>
        <w:ind w:left="109" w:hanging="262"/>
      </w:pPr>
      <w:rPr>
        <w:rFonts w:hint="default"/>
        <w:w w:val="100"/>
        <w:lang w:val="pl-PL" w:eastAsia="en-US" w:bidi="ar-SA"/>
      </w:rPr>
    </w:lvl>
    <w:lvl w:ilvl="1" w:tplc="09185A56">
      <w:numFmt w:val="bullet"/>
      <w:lvlText w:val="•"/>
      <w:lvlJc w:val="left"/>
      <w:pPr>
        <w:ind w:left="634" w:hanging="262"/>
      </w:pPr>
      <w:rPr>
        <w:rFonts w:hint="default"/>
        <w:lang w:val="pl-PL" w:eastAsia="en-US" w:bidi="ar-SA"/>
      </w:rPr>
    </w:lvl>
    <w:lvl w:ilvl="2" w:tplc="F8662830">
      <w:numFmt w:val="bullet"/>
      <w:lvlText w:val="•"/>
      <w:lvlJc w:val="left"/>
      <w:pPr>
        <w:ind w:left="1169" w:hanging="262"/>
      </w:pPr>
      <w:rPr>
        <w:rFonts w:hint="default"/>
        <w:lang w:val="pl-PL" w:eastAsia="en-US" w:bidi="ar-SA"/>
      </w:rPr>
    </w:lvl>
    <w:lvl w:ilvl="3" w:tplc="2BC807BA">
      <w:numFmt w:val="bullet"/>
      <w:lvlText w:val="•"/>
      <w:lvlJc w:val="left"/>
      <w:pPr>
        <w:ind w:left="1704" w:hanging="262"/>
      </w:pPr>
      <w:rPr>
        <w:rFonts w:hint="default"/>
        <w:lang w:val="pl-PL" w:eastAsia="en-US" w:bidi="ar-SA"/>
      </w:rPr>
    </w:lvl>
    <w:lvl w:ilvl="4" w:tplc="ACDCFCBE">
      <w:numFmt w:val="bullet"/>
      <w:lvlText w:val="•"/>
      <w:lvlJc w:val="left"/>
      <w:pPr>
        <w:ind w:left="2239" w:hanging="262"/>
      </w:pPr>
      <w:rPr>
        <w:rFonts w:hint="default"/>
        <w:lang w:val="pl-PL" w:eastAsia="en-US" w:bidi="ar-SA"/>
      </w:rPr>
    </w:lvl>
    <w:lvl w:ilvl="5" w:tplc="D0A87C1C">
      <w:numFmt w:val="bullet"/>
      <w:lvlText w:val="•"/>
      <w:lvlJc w:val="left"/>
      <w:pPr>
        <w:ind w:left="2774" w:hanging="262"/>
      </w:pPr>
      <w:rPr>
        <w:rFonts w:hint="default"/>
        <w:lang w:val="pl-PL" w:eastAsia="en-US" w:bidi="ar-SA"/>
      </w:rPr>
    </w:lvl>
    <w:lvl w:ilvl="6" w:tplc="E5EAD2AC">
      <w:numFmt w:val="bullet"/>
      <w:lvlText w:val="•"/>
      <w:lvlJc w:val="left"/>
      <w:pPr>
        <w:ind w:left="3309" w:hanging="262"/>
      </w:pPr>
      <w:rPr>
        <w:rFonts w:hint="default"/>
        <w:lang w:val="pl-PL" w:eastAsia="en-US" w:bidi="ar-SA"/>
      </w:rPr>
    </w:lvl>
    <w:lvl w:ilvl="7" w:tplc="8988B262">
      <w:numFmt w:val="bullet"/>
      <w:lvlText w:val="•"/>
      <w:lvlJc w:val="left"/>
      <w:pPr>
        <w:ind w:left="3844" w:hanging="262"/>
      </w:pPr>
      <w:rPr>
        <w:rFonts w:hint="default"/>
        <w:lang w:val="pl-PL" w:eastAsia="en-US" w:bidi="ar-SA"/>
      </w:rPr>
    </w:lvl>
    <w:lvl w:ilvl="8" w:tplc="D2FED052">
      <w:numFmt w:val="bullet"/>
      <w:lvlText w:val="•"/>
      <w:lvlJc w:val="left"/>
      <w:pPr>
        <w:ind w:left="4379" w:hanging="262"/>
      </w:pPr>
      <w:rPr>
        <w:rFonts w:hint="default"/>
        <w:lang w:val="pl-PL" w:eastAsia="en-US" w:bidi="ar-SA"/>
      </w:rPr>
    </w:lvl>
  </w:abstractNum>
  <w:abstractNum w:abstractNumId="7" w15:restartNumberingAfterBreak="0">
    <w:nsid w:val="32424E62"/>
    <w:multiLevelType w:val="multilevel"/>
    <w:tmpl w:val="9438B8EC"/>
    <w:lvl w:ilvl="0">
      <w:start w:val="1"/>
      <w:numFmt w:val="bullet"/>
      <w:lvlText w:val=""/>
      <w:lvlJc w:val="left"/>
      <w:pPr>
        <w:tabs>
          <w:tab w:val="num" w:pos="720"/>
        </w:tabs>
        <w:ind w:left="720" w:hanging="360"/>
      </w:pPr>
      <w:rPr>
        <w:rFonts w:ascii="Symbol" w:hAnsi="Symbol" w:cs="OpenSymbol" w:hint="default"/>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39B64AA5"/>
    <w:multiLevelType w:val="hybridMultilevel"/>
    <w:tmpl w:val="C62E4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DAF123F"/>
    <w:multiLevelType w:val="hybridMultilevel"/>
    <w:tmpl w:val="3B72CC68"/>
    <w:lvl w:ilvl="0" w:tplc="5554F078">
      <w:numFmt w:val="bullet"/>
      <w:lvlText w:val=""/>
      <w:lvlJc w:val="left"/>
      <w:pPr>
        <w:ind w:left="829" w:hanging="360"/>
      </w:pPr>
      <w:rPr>
        <w:rFonts w:ascii="Symbol" w:eastAsia="Symbol" w:hAnsi="Symbol" w:cs="Symbol" w:hint="default"/>
        <w:w w:val="100"/>
        <w:sz w:val="24"/>
        <w:szCs w:val="24"/>
        <w:lang w:val="pl-PL" w:eastAsia="en-US" w:bidi="ar-SA"/>
      </w:rPr>
    </w:lvl>
    <w:lvl w:ilvl="1" w:tplc="D5F4A6C0">
      <w:numFmt w:val="bullet"/>
      <w:lvlText w:val="•"/>
      <w:lvlJc w:val="left"/>
      <w:pPr>
        <w:ind w:left="1282" w:hanging="360"/>
      </w:pPr>
      <w:rPr>
        <w:rFonts w:hint="default"/>
        <w:lang w:val="pl-PL" w:eastAsia="en-US" w:bidi="ar-SA"/>
      </w:rPr>
    </w:lvl>
    <w:lvl w:ilvl="2" w:tplc="8AAC76BC">
      <w:numFmt w:val="bullet"/>
      <w:lvlText w:val="•"/>
      <w:lvlJc w:val="left"/>
      <w:pPr>
        <w:ind w:left="1745" w:hanging="360"/>
      </w:pPr>
      <w:rPr>
        <w:rFonts w:hint="default"/>
        <w:lang w:val="pl-PL" w:eastAsia="en-US" w:bidi="ar-SA"/>
      </w:rPr>
    </w:lvl>
    <w:lvl w:ilvl="3" w:tplc="90B28180">
      <w:numFmt w:val="bullet"/>
      <w:lvlText w:val="•"/>
      <w:lvlJc w:val="left"/>
      <w:pPr>
        <w:ind w:left="2208" w:hanging="360"/>
      </w:pPr>
      <w:rPr>
        <w:rFonts w:hint="default"/>
        <w:lang w:val="pl-PL" w:eastAsia="en-US" w:bidi="ar-SA"/>
      </w:rPr>
    </w:lvl>
    <w:lvl w:ilvl="4" w:tplc="7FE037AA">
      <w:numFmt w:val="bullet"/>
      <w:lvlText w:val="•"/>
      <w:lvlJc w:val="left"/>
      <w:pPr>
        <w:ind w:left="2671" w:hanging="360"/>
      </w:pPr>
      <w:rPr>
        <w:rFonts w:hint="default"/>
        <w:lang w:val="pl-PL" w:eastAsia="en-US" w:bidi="ar-SA"/>
      </w:rPr>
    </w:lvl>
    <w:lvl w:ilvl="5" w:tplc="CEBED944">
      <w:numFmt w:val="bullet"/>
      <w:lvlText w:val="•"/>
      <w:lvlJc w:val="left"/>
      <w:pPr>
        <w:ind w:left="3134" w:hanging="360"/>
      </w:pPr>
      <w:rPr>
        <w:rFonts w:hint="default"/>
        <w:lang w:val="pl-PL" w:eastAsia="en-US" w:bidi="ar-SA"/>
      </w:rPr>
    </w:lvl>
    <w:lvl w:ilvl="6" w:tplc="ACD85B66">
      <w:numFmt w:val="bullet"/>
      <w:lvlText w:val="•"/>
      <w:lvlJc w:val="left"/>
      <w:pPr>
        <w:ind w:left="3597" w:hanging="360"/>
      </w:pPr>
      <w:rPr>
        <w:rFonts w:hint="default"/>
        <w:lang w:val="pl-PL" w:eastAsia="en-US" w:bidi="ar-SA"/>
      </w:rPr>
    </w:lvl>
    <w:lvl w:ilvl="7" w:tplc="B4C8122A">
      <w:numFmt w:val="bullet"/>
      <w:lvlText w:val="•"/>
      <w:lvlJc w:val="left"/>
      <w:pPr>
        <w:ind w:left="4060" w:hanging="360"/>
      </w:pPr>
      <w:rPr>
        <w:rFonts w:hint="default"/>
        <w:lang w:val="pl-PL" w:eastAsia="en-US" w:bidi="ar-SA"/>
      </w:rPr>
    </w:lvl>
    <w:lvl w:ilvl="8" w:tplc="35A08E68">
      <w:numFmt w:val="bullet"/>
      <w:lvlText w:val="•"/>
      <w:lvlJc w:val="left"/>
      <w:pPr>
        <w:ind w:left="4523" w:hanging="360"/>
      </w:pPr>
      <w:rPr>
        <w:rFonts w:hint="default"/>
        <w:lang w:val="pl-PL" w:eastAsia="en-US" w:bidi="ar-SA"/>
      </w:rPr>
    </w:lvl>
  </w:abstractNum>
  <w:abstractNum w:abstractNumId="10" w15:restartNumberingAfterBreak="0">
    <w:nsid w:val="46E03B65"/>
    <w:multiLevelType w:val="multilevel"/>
    <w:tmpl w:val="9A20377C"/>
    <w:lvl w:ilvl="0">
      <w:start w:val="1"/>
      <w:numFmt w:val="bullet"/>
      <w:lvlText w:val=""/>
      <w:lvlJc w:val="left"/>
      <w:pPr>
        <w:tabs>
          <w:tab w:val="num" w:pos="720"/>
        </w:tabs>
        <w:ind w:left="720" w:hanging="360"/>
      </w:pPr>
      <w:rPr>
        <w:rFonts w:ascii="Symbol" w:hAnsi="Symbol" w:cs="OpenSymbol" w:hint="default"/>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46F74538"/>
    <w:multiLevelType w:val="hybridMultilevel"/>
    <w:tmpl w:val="534E6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4674720"/>
    <w:multiLevelType w:val="hybridMultilevel"/>
    <w:tmpl w:val="51103F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364D7E"/>
    <w:multiLevelType w:val="hybridMultilevel"/>
    <w:tmpl w:val="1E96E0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A18195A"/>
    <w:multiLevelType w:val="hybridMultilevel"/>
    <w:tmpl w:val="7F0ED2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ABF7BD0"/>
    <w:multiLevelType w:val="hybridMultilevel"/>
    <w:tmpl w:val="0694BA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F165D55"/>
    <w:multiLevelType w:val="hybridMultilevel"/>
    <w:tmpl w:val="66625A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0221D3E"/>
    <w:multiLevelType w:val="hybridMultilevel"/>
    <w:tmpl w:val="910E3E4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5B26D07"/>
    <w:multiLevelType w:val="hybridMultilevel"/>
    <w:tmpl w:val="CAD6EB58"/>
    <w:lvl w:ilvl="0" w:tplc="32E87C64">
      <w:numFmt w:val="bullet"/>
      <w:lvlText w:val="•"/>
      <w:lvlJc w:val="left"/>
      <w:pPr>
        <w:ind w:left="109" w:hanging="205"/>
      </w:pPr>
      <w:rPr>
        <w:rFonts w:ascii="Times New Roman" w:eastAsia="Times New Roman" w:hAnsi="Times New Roman" w:cs="Times New Roman" w:hint="default"/>
        <w:spacing w:val="-5"/>
        <w:w w:val="100"/>
        <w:sz w:val="24"/>
        <w:szCs w:val="24"/>
        <w:lang w:val="pl-PL" w:eastAsia="en-US" w:bidi="ar-SA"/>
      </w:rPr>
    </w:lvl>
    <w:lvl w:ilvl="1" w:tplc="9D8C6ABE">
      <w:numFmt w:val="bullet"/>
      <w:lvlText w:val="•"/>
      <w:lvlJc w:val="left"/>
      <w:pPr>
        <w:ind w:left="634" w:hanging="205"/>
      </w:pPr>
      <w:rPr>
        <w:rFonts w:hint="default"/>
        <w:lang w:val="pl-PL" w:eastAsia="en-US" w:bidi="ar-SA"/>
      </w:rPr>
    </w:lvl>
    <w:lvl w:ilvl="2" w:tplc="62CC9296">
      <w:numFmt w:val="bullet"/>
      <w:lvlText w:val="•"/>
      <w:lvlJc w:val="left"/>
      <w:pPr>
        <w:ind w:left="1169" w:hanging="205"/>
      </w:pPr>
      <w:rPr>
        <w:rFonts w:hint="default"/>
        <w:lang w:val="pl-PL" w:eastAsia="en-US" w:bidi="ar-SA"/>
      </w:rPr>
    </w:lvl>
    <w:lvl w:ilvl="3" w:tplc="2F4E2956">
      <w:numFmt w:val="bullet"/>
      <w:lvlText w:val="•"/>
      <w:lvlJc w:val="left"/>
      <w:pPr>
        <w:ind w:left="1704" w:hanging="205"/>
      </w:pPr>
      <w:rPr>
        <w:rFonts w:hint="default"/>
        <w:lang w:val="pl-PL" w:eastAsia="en-US" w:bidi="ar-SA"/>
      </w:rPr>
    </w:lvl>
    <w:lvl w:ilvl="4" w:tplc="25F45602">
      <w:numFmt w:val="bullet"/>
      <w:lvlText w:val="•"/>
      <w:lvlJc w:val="left"/>
      <w:pPr>
        <w:ind w:left="2239" w:hanging="205"/>
      </w:pPr>
      <w:rPr>
        <w:rFonts w:hint="default"/>
        <w:lang w:val="pl-PL" w:eastAsia="en-US" w:bidi="ar-SA"/>
      </w:rPr>
    </w:lvl>
    <w:lvl w:ilvl="5" w:tplc="E800027E">
      <w:numFmt w:val="bullet"/>
      <w:lvlText w:val="•"/>
      <w:lvlJc w:val="left"/>
      <w:pPr>
        <w:ind w:left="2774" w:hanging="205"/>
      </w:pPr>
      <w:rPr>
        <w:rFonts w:hint="default"/>
        <w:lang w:val="pl-PL" w:eastAsia="en-US" w:bidi="ar-SA"/>
      </w:rPr>
    </w:lvl>
    <w:lvl w:ilvl="6" w:tplc="0160FBF4">
      <w:numFmt w:val="bullet"/>
      <w:lvlText w:val="•"/>
      <w:lvlJc w:val="left"/>
      <w:pPr>
        <w:ind w:left="3309" w:hanging="205"/>
      </w:pPr>
      <w:rPr>
        <w:rFonts w:hint="default"/>
        <w:lang w:val="pl-PL" w:eastAsia="en-US" w:bidi="ar-SA"/>
      </w:rPr>
    </w:lvl>
    <w:lvl w:ilvl="7" w:tplc="50065B7E">
      <w:numFmt w:val="bullet"/>
      <w:lvlText w:val="•"/>
      <w:lvlJc w:val="left"/>
      <w:pPr>
        <w:ind w:left="3844" w:hanging="205"/>
      </w:pPr>
      <w:rPr>
        <w:rFonts w:hint="default"/>
        <w:lang w:val="pl-PL" w:eastAsia="en-US" w:bidi="ar-SA"/>
      </w:rPr>
    </w:lvl>
    <w:lvl w:ilvl="8" w:tplc="5A669220">
      <w:numFmt w:val="bullet"/>
      <w:lvlText w:val="•"/>
      <w:lvlJc w:val="left"/>
      <w:pPr>
        <w:ind w:left="4379" w:hanging="205"/>
      </w:pPr>
      <w:rPr>
        <w:rFonts w:hint="default"/>
        <w:lang w:val="pl-PL" w:eastAsia="en-US" w:bidi="ar-SA"/>
      </w:rPr>
    </w:lvl>
  </w:abstractNum>
  <w:abstractNum w:abstractNumId="19" w15:restartNumberingAfterBreak="0">
    <w:nsid w:val="79911044"/>
    <w:multiLevelType w:val="hybridMultilevel"/>
    <w:tmpl w:val="66765D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38968452">
    <w:abstractNumId w:val="2"/>
  </w:num>
  <w:num w:numId="2" w16cid:durableId="424769177">
    <w:abstractNumId w:val="7"/>
  </w:num>
  <w:num w:numId="3" w16cid:durableId="240914154">
    <w:abstractNumId w:val="10"/>
  </w:num>
  <w:num w:numId="4" w16cid:durableId="1471940793">
    <w:abstractNumId w:val="4"/>
  </w:num>
  <w:num w:numId="5" w16cid:durableId="1948459550">
    <w:abstractNumId w:val="9"/>
  </w:num>
  <w:num w:numId="6" w16cid:durableId="1995798446">
    <w:abstractNumId w:val="6"/>
  </w:num>
  <w:num w:numId="7" w16cid:durableId="17434056">
    <w:abstractNumId w:val="18"/>
  </w:num>
  <w:num w:numId="8" w16cid:durableId="1633171394">
    <w:abstractNumId w:val="5"/>
  </w:num>
  <w:num w:numId="9" w16cid:durableId="1545942572">
    <w:abstractNumId w:val="12"/>
  </w:num>
  <w:num w:numId="10" w16cid:durableId="2088764244">
    <w:abstractNumId w:val="3"/>
  </w:num>
  <w:num w:numId="11" w16cid:durableId="1362128165">
    <w:abstractNumId w:val="19"/>
  </w:num>
  <w:num w:numId="12" w16cid:durableId="319579519">
    <w:abstractNumId w:val="1"/>
  </w:num>
  <w:num w:numId="13" w16cid:durableId="221404480">
    <w:abstractNumId w:val="8"/>
  </w:num>
  <w:num w:numId="14" w16cid:durableId="1742437406">
    <w:abstractNumId w:val="16"/>
  </w:num>
  <w:num w:numId="15" w16cid:durableId="424811727">
    <w:abstractNumId w:val="14"/>
  </w:num>
  <w:num w:numId="16" w16cid:durableId="634027555">
    <w:abstractNumId w:val="13"/>
  </w:num>
  <w:num w:numId="17" w16cid:durableId="217320727">
    <w:abstractNumId w:val="15"/>
  </w:num>
  <w:num w:numId="18" w16cid:durableId="531579552">
    <w:abstractNumId w:val="11"/>
  </w:num>
  <w:num w:numId="19" w16cid:durableId="1326058344">
    <w:abstractNumId w:val="0"/>
  </w:num>
  <w:num w:numId="20" w16cid:durableId="20986730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152"/>
    <w:rsid w:val="00046C2F"/>
    <w:rsid w:val="00057077"/>
    <w:rsid w:val="00091055"/>
    <w:rsid w:val="00095EC8"/>
    <w:rsid w:val="000A226B"/>
    <w:rsid w:val="000B06D3"/>
    <w:rsid w:val="00124CF0"/>
    <w:rsid w:val="00136F5B"/>
    <w:rsid w:val="00193474"/>
    <w:rsid w:val="00195553"/>
    <w:rsid w:val="001A4652"/>
    <w:rsid w:val="001A5AA2"/>
    <w:rsid w:val="001C4012"/>
    <w:rsid w:val="001D34EC"/>
    <w:rsid w:val="002461E0"/>
    <w:rsid w:val="00285B06"/>
    <w:rsid w:val="002966C7"/>
    <w:rsid w:val="00395CD3"/>
    <w:rsid w:val="003E5249"/>
    <w:rsid w:val="003F5D47"/>
    <w:rsid w:val="003F6958"/>
    <w:rsid w:val="0043368D"/>
    <w:rsid w:val="00441D2B"/>
    <w:rsid w:val="00447C3E"/>
    <w:rsid w:val="004A4B1D"/>
    <w:rsid w:val="004D6B7C"/>
    <w:rsid w:val="004F39A4"/>
    <w:rsid w:val="00537E33"/>
    <w:rsid w:val="0056338E"/>
    <w:rsid w:val="005A0A0B"/>
    <w:rsid w:val="005A75E3"/>
    <w:rsid w:val="005D2D9C"/>
    <w:rsid w:val="005E27A6"/>
    <w:rsid w:val="0062465C"/>
    <w:rsid w:val="00637152"/>
    <w:rsid w:val="00645C3A"/>
    <w:rsid w:val="006707A7"/>
    <w:rsid w:val="00683A77"/>
    <w:rsid w:val="0069481A"/>
    <w:rsid w:val="006D54D3"/>
    <w:rsid w:val="006F1B65"/>
    <w:rsid w:val="0070315A"/>
    <w:rsid w:val="0074329C"/>
    <w:rsid w:val="00745373"/>
    <w:rsid w:val="00792257"/>
    <w:rsid w:val="007E13AC"/>
    <w:rsid w:val="007E3E7D"/>
    <w:rsid w:val="00852264"/>
    <w:rsid w:val="00870048"/>
    <w:rsid w:val="0087019B"/>
    <w:rsid w:val="009A3CDC"/>
    <w:rsid w:val="009B24C2"/>
    <w:rsid w:val="00A2760A"/>
    <w:rsid w:val="00B168CD"/>
    <w:rsid w:val="00B21393"/>
    <w:rsid w:val="00C15256"/>
    <w:rsid w:val="00C179AA"/>
    <w:rsid w:val="00C514A7"/>
    <w:rsid w:val="00C60919"/>
    <w:rsid w:val="00C64847"/>
    <w:rsid w:val="00C769F0"/>
    <w:rsid w:val="00C817B5"/>
    <w:rsid w:val="00C94154"/>
    <w:rsid w:val="00CD6F6B"/>
    <w:rsid w:val="00D2159D"/>
    <w:rsid w:val="00D6656C"/>
    <w:rsid w:val="00D71821"/>
    <w:rsid w:val="00D9014B"/>
    <w:rsid w:val="00E30B49"/>
    <w:rsid w:val="00E35DB0"/>
    <w:rsid w:val="00E47D5C"/>
    <w:rsid w:val="00E47FB6"/>
    <w:rsid w:val="00E86EA5"/>
    <w:rsid w:val="00E95D57"/>
    <w:rsid w:val="00F17F27"/>
    <w:rsid w:val="00F600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B5852"/>
  <w15:chartTrackingRefBased/>
  <w15:docId w15:val="{63B2109C-86BB-4B96-A228-A11615D45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0315A"/>
    <w:pPr>
      <w:ind w:left="720"/>
      <w:contextualSpacing/>
    </w:pPr>
  </w:style>
  <w:style w:type="character" w:styleId="Hipercze">
    <w:name w:val="Hyperlink"/>
    <w:basedOn w:val="Domylnaczcionkaakapitu"/>
    <w:uiPriority w:val="99"/>
    <w:unhideWhenUsed/>
    <w:rsid w:val="001A4652"/>
    <w:rPr>
      <w:color w:val="0000FF"/>
      <w:u w:val="single"/>
    </w:rPr>
  </w:style>
  <w:style w:type="character" w:styleId="Nierozpoznanawzmianka">
    <w:name w:val="Unresolved Mention"/>
    <w:basedOn w:val="Domylnaczcionkaakapitu"/>
    <w:uiPriority w:val="99"/>
    <w:semiHidden/>
    <w:unhideWhenUsed/>
    <w:rsid w:val="001A4652"/>
    <w:rPr>
      <w:color w:val="605E5C"/>
      <w:shd w:val="clear" w:color="auto" w:fill="E1DFDD"/>
    </w:rPr>
  </w:style>
  <w:style w:type="table" w:styleId="Tabela-Siatka">
    <w:name w:val="Table Grid"/>
    <w:basedOn w:val="Standardowy"/>
    <w:uiPriority w:val="39"/>
    <w:rsid w:val="009B2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4F39A4"/>
    <w:pPr>
      <w:widowControl w:val="0"/>
      <w:autoSpaceDE w:val="0"/>
      <w:autoSpaceDN w:val="0"/>
      <w:spacing w:after="0" w:line="240" w:lineRule="auto"/>
    </w:pPr>
    <w:rPr>
      <w:rFonts w:ascii="Times New Roman" w:eastAsia="Times New Roman" w:hAnsi="Times New Roman" w:cs="Times New Roman"/>
    </w:rPr>
  </w:style>
  <w:style w:type="character" w:styleId="Odwoaniedokomentarza">
    <w:name w:val="annotation reference"/>
    <w:basedOn w:val="Domylnaczcionkaakapitu"/>
    <w:uiPriority w:val="99"/>
    <w:semiHidden/>
    <w:unhideWhenUsed/>
    <w:rsid w:val="000A226B"/>
    <w:rPr>
      <w:sz w:val="16"/>
      <w:szCs w:val="16"/>
    </w:rPr>
  </w:style>
  <w:style w:type="paragraph" w:styleId="Tekstkomentarza">
    <w:name w:val="annotation text"/>
    <w:basedOn w:val="Normalny"/>
    <w:link w:val="TekstkomentarzaZnak"/>
    <w:uiPriority w:val="99"/>
    <w:unhideWhenUsed/>
    <w:rsid w:val="000A226B"/>
    <w:pPr>
      <w:spacing w:line="240" w:lineRule="auto"/>
    </w:pPr>
    <w:rPr>
      <w:sz w:val="20"/>
      <w:szCs w:val="20"/>
    </w:rPr>
  </w:style>
  <w:style w:type="character" w:customStyle="1" w:styleId="TekstkomentarzaZnak">
    <w:name w:val="Tekst komentarza Znak"/>
    <w:basedOn w:val="Domylnaczcionkaakapitu"/>
    <w:link w:val="Tekstkomentarza"/>
    <w:uiPriority w:val="99"/>
    <w:rsid w:val="000A226B"/>
    <w:rPr>
      <w:sz w:val="20"/>
      <w:szCs w:val="20"/>
    </w:rPr>
  </w:style>
  <w:style w:type="paragraph" w:styleId="Tematkomentarza">
    <w:name w:val="annotation subject"/>
    <w:basedOn w:val="Tekstkomentarza"/>
    <w:next w:val="Tekstkomentarza"/>
    <w:link w:val="TematkomentarzaZnak"/>
    <w:uiPriority w:val="99"/>
    <w:semiHidden/>
    <w:unhideWhenUsed/>
    <w:rsid w:val="000A226B"/>
    <w:rPr>
      <w:b/>
      <w:bCs/>
    </w:rPr>
  </w:style>
  <w:style w:type="character" w:customStyle="1" w:styleId="TematkomentarzaZnak">
    <w:name w:val="Temat komentarza Znak"/>
    <w:basedOn w:val="TekstkomentarzaZnak"/>
    <w:link w:val="Tematkomentarza"/>
    <w:uiPriority w:val="99"/>
    <w:semiHidden/>
    <w:rsid w:val="000A226B"/>
    <w:rPr>
      <w:b/>
      <w:bCs/>
      <w:sz w:val="20"/>
      <w:szCs w:val="20"/>
    </w:rPr>
  </w:style>
  <w:style w:type="character" w:customStyle="1" w:styleId="AkapitzlistZnak">
    <w:name w:val="Akapit z listą Znak"/>
    <w:basedOn w:val="Domylnaczcionkaakapitu"/>
    <w:link w:val="Akapitzlist"/>
    <w:uiPriority w:val="34"/>
    <w:rsid w:val="000A226B"/>
  </w:style>
  <w:style w:type="table" w:customStyle="1" w:styleId="Tabela-Siatka1">
    <w:name w:val="Tabela - Siatka1"/>
    <w:basedOn w:val="Standardowy"/>
    <w:next w:val="Tabela-Siatka"/>
    <w:uiPriority w:val="59"/>
    <w:rsid w:val="00A2760A"/>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1596</Words>
  <Characters>9578</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Nowacka</dc:creator>
  <cp:keywords/>
  <dc:description/>
  <cp:lastModifiedBy>Karolina Walczak</cp:lastModifiedBy>
  <cp:revision>4</cp:revision>
  <dcterms:created xsi:type="dcterms:W3CDTF">2024-06-10T07:21:00Z</dcterms:created>
  <dcterms:modified xsi:type="dcterms:W3CDTF">2024-06-10T07:22:00Z</dcterms:modified>
</cp:coreProperties>
</file>