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60B" w14:textId="77777777" w:rsidR="00E04E84" w:rsidRPr="00D8532A" w:rsidRDefault="00E04E84" w:rsidP="00E04E84">
      <w:pPr>
        <w:pStyle w:val="Tytu"/>
        <w:rPr>
          <w:b w:val="0"/>
          <w:sz w:val="24"/>
        </w:rPr>
      </w:pPr>
      <w:r w:rsidRPr="00D8532A">
        <w:rPr>
          <w:b w:val="0"/>
          <w:sz w:val="24"/>
        </w:rPr>
        <w:t>Uzasadnienie</w:t>
      </w:r>
    </w:p>
    <w:p w14:paraId="0A94EAE2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 xml:space="preserve">do Uchwały Nr . . / . . /    </w:t>
      </w:r>
    </w:p>
    <w:p w14:paraId="0E038D23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>Rady Gminy Słupca</w:t>
      </w:r>
    </w:p>
    <w:p w14:paraId="394A318F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 xml:space="preserve">z dnia </w:t>
      </w:r>
      <w:r w:rsidRPr="00D8532A">
        <w:rPr>
          <w:spacing w:val="20"/>
          <w:sz w:val="24"/>
        </w:rPr>
        <w:tab/>
      </w:r>
      <w:r w:rsidRPr="00D8532A">
        <w:rPr>
          <w:spacing w:val="20"/>
          <w:sz w:val="24"/>
        </w:rPr>
        <w:tab/>
      </w:r>
      <w:r w:rsidRPr="00D8532A">
        <w:rPr>
          <w:spacing w:val="20"/>
          <w:sz w:val="24"/>
        </w:rPr>
        <w:tab/>
      </w:r>
    </w:p>
    <w:p w14:paraId="6E5C1D7A" w14:textId="77777777" w:rsidR="00E04E84" w:rsidRPr="00D8532A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5821915E" w:rsidR="00E04E84" w:rsidRPr="00D8532A" w:rsidRDefault="00E04E84" w:rsidP="00E04E84">
      <w:pPr>
        <w:ind w:left="1134" w:hanging="1134"/>
        <w:jc w:val="both"/>
        <w:rPr>
          <w:sz w:val="24"/>
          <w:szCs w:val="24"/>
        </w:rPr>
      </w:pPr>
      <w:r w:rsidRPr="00D8532A">
        <w:rPr>
          <w:sz w:val="24"/>
          <w:szCs w:val="24"/>
        </w:rPr>
        <w:t>w sprawie:</w:t>
      </w:r>
      <w:r w:rsidR="008A570A" w:rsidRPr="00D8532A">
        <w:rPr>
          <w:sz w:val="24"/>
          <w:szCs w:val="24"/>
        </w:rPr>
        <w:t xml:space="preserve"> </w:t>
      </w:r>
      <w:r w:rsidR="00D8532A" w:rsidRPr="00D8532A">
        <w:rPr>
          <w:rFonts w:cs="Arial"/>
          <w:b/>
          <w:iCs/>
          <w:sz w:val="22"/>
          <w:szCs w:val="22"/>
        </w:rPr>
        <w:t>zmiany miejscowych planów zagospodarowania przestrzennego gminy Słupca dla wybranych terenów w obrębach ewidencyjnych Kochowo, Józefowo i Piotrowice</w:t>
      </w:r>
    </w:p>
    <w:p w14:paraId="6417FCF1" w14:textId="77777777" w:rsidR="00E04E84" w:rsidRPr="00D8532A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0DE2789A" w14:textId="3D5D9CF6" w:rsidR="002A5BC5" w:rsidRDefault="00E04E84" w:rsidP="00EA5707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8532A">
        <w:rPr>
          <w:sz w:val="24"/>
          <w:szCs w:val="24"/>
        </w:rPr>
        <w:t xml:space="preserve">Przedmiotowa uchwała jest konsekwencją uchwały </w:t>
      </w:r>
      <w:r w:rsidR="00D8532A">
        <w:rPr>
          <w:sz w:val="24"/>
          <w:szCs w:val="24"/>
        </w:rPr>
        <w:t xml:space="preserve">Nr XLIII/245/2021 </w:t>
      </w:r>
      <w:r w:rsidR="00D8532A" w:rsidRPr="00D8532A">
        <w:rPr>
          <w:sz w:val="24"/>
          <w:szCs w:val="24"/>
        </w:rPr>
        <w:t xml:space="preserve">podjętej przez Radę Gminy Słupca w dniu </w:t>
      </w:r>
      <w:r w:rsidR="00D8532A">
        <w:rPr>
          <w:sz w:val="24"/>
          <w:szCs w:val="24"/>
        </w:rPr>
        <w:t xml:space="preserve">29 września 2021 r. </w:t>
      </w:r>
      <w:r w:rsidR="00D8532A" w:rsidRPr="00D8532A">
        <w:rPr>
          <w:sz w:val="24"/>
          <w:szCs w:val="24"/>
        </w:rPr>
        <w:t xml:space="preserve">w sprawie przystąpienia do sporządzenia zmiany miejscowych planów zagospodarowania przestrzennego gminy Słupca dla wybranych terenów w obrębach ewidencyjnych Kochowo, Józefowo i Piotrowice </w:t>
      </w:r>
      <w:r w:rsidR="00D8532A">
        <w:rPr>
          <w:sz w:val="24"/>
          <w:szCs w:val="24"/>
        </w:rPr>
        <w:t xml:space="preserve">oraz uchwały z dnia </w:t>
      </w:r>
      <w:r w:rsidRPr="00D8532A">
        <w:rPr>
          <w:sz w:val="24"/>
          <w:szCs w:val="24"/>
        </w:rPr>
        <w:t xml:space="preserve">Nr </w:t>
      </w:r>
      <w:r w:rsidR="003E5405" w:rsidRPr="00D8532A">
        <w:rPr>
          <w:sz w:val="24"/>
          <w:szCs w:val="24"/>
        </w:rPr>
        <w:t>L</w:t>
      </w:r>
      <w:r w:rsidR="00D8532A">
        <w:rPr>
          <w:sz w:val="24"/>
          <w:szCs w:val="24"/>
        </w:rPr>
        <w:t>IV</w:t>
      </w:r>
      <w:r w:rsidR="003E5405" w:rsidRPr="00D8532A">
        <w:rPr>
          <w:sz w:val="24"/>
          <w:szCs w:val="24"/>
        </w:rPr>
        <w:t>/</w:t>
      </w:r>
      <w:r w:rsidR="00D8532A">
        <w:rPr>
          <w:sz w:val="24"/>
          <w:szCs w:val="24"/>
        </w:rPr>
        <w:t>303</w:t>
      </w:r>
      <w:r w:rsidR="003E5405" w:rsidRPr="00D8532A">
        <w:rPr>
          <w:sz w:val="24"/>
          <w:szCs w:val="24"/>
        </w:rPr>
        <w:t>/2022</w:t>
      </w:r>
      <w:r w:rsidRPr="00D8532A">
        <w:rPr>
          <w:sz w:val="24"/>
          <w:szCs w:val="24"/>
        </w:rPr>
        <w:t xml:space="preserve"> podjętej przez Radę Gminy Słupca w dniu </w:t>
      </w:r>
      <w:r w:rsidR="00D8532A" w:rsidRPr="00D8532A">
        <w:rPr>
          <w:sz w:val="24"/>
          <w:szCs w:val="24"/>
        </w:rPr>
        <w:t>28 kwietnia</w:t>
      </w:r>
      <w:r w:rsidR="003E5405" w:rsidRPr="00D8532A">
        <w:rPr>
          <w:sz w:val="24"/>
          <w:szCs w:val="24"/>
        </w:rPr>
        <w:t xml:space="preserve"> 2022 r.</w:t>
      </w:r>
      <w:r w:rsidRPr="00D8532A">
        <w:rPr>
          <w:sz w:val="24"/>
          <w:szCs w:val="24"/>
        </w:rPr>
        <w:t xml:space="preserve"> w sprawie </w:t>
      </w:r>
      <w:r w:rsidR="001D15C4">
        <w:rPr>
          <w:sz w:val="24"/>
          <w:szCs w:val="24"/>
        </w:rPr>
        <w:t xml:space="preserve">zmiany </w:t>
      </w:r>
      <w:r w:rsidR="001D15C4" w:rsidRPr="00D8532A">
        <w:rPr>
          <w:sz w:val="24"/>
          <w:szCs w:val="24"/>
        </w:rPr>
        <w:t xml:space="preserve">uchwały </w:t>
      </w:r>
      <w:r w:rsidR="001D15C4">
        <w:rPr>
          <w:sz w:val="24"/>
          <w:szCs w:val="24"/>
        </w:rPr>
        <w:t xml:space="preserve">Nr XLIII/245/2021 </w:t>
      </w:r>
      <w:r w:rsidR="002A5BC5">
        <w:rPr>
          <w:sz w:val="24"/>
          <w:szCs w:val="24"/>
        </w:rPr>
        <w:t>z dnia</w:t>
      </w:r>
      <w:r w:rsidR="001D15C4" w:rsidRPr="00D8532A">
        <w:rPr>
          <w:sz w:val="24"/>
          <w:szCs w:val="24"/>
        </w:rPr>
        <w:t xml:space="preserve"> </w:t>
      </w:r>
      <w:r w:rsidR="001D15C4">
        <w:rPr>
          <w:sz w:val="24"/>
          <w:szCs w:val="24"/>
        </w:rPr>
        <w:t xml:space="preserve">29 września 2021 r. </w:t>
      </w:r>
      <w:r w:rsidR="001D15C4" w:rsidRPr="00D8532A">
        <w:rPr>
          <w:sz w:val="24"/>
          <w:szCs w:val="24"/>
        </w:rPr>
        <w:t xml:space="preserve">w sprawie przystąpienia do sporządzenia zmiany miejscowych planów zagospodarowania przestrzennego </w:t>
      </w:r>
      <w:r w:rsidR="001D15C4" w:rsidRPr="001D15C4">
        <w:rPr>
          <w:sz w:val="24"/>
          <w:szCs w:val="24"/>
        </w:rPr>
        <w:t xml:space="preserve">gminy Słupca dla wybranych terenów w obrębach ewidencyjnych Kochowo, Józefowo i </w:t>
      </w:r>
      <w:r w:rsidR="001D15C4" w:rsidRPr="002A5BC5">
        <w:rPr>
          <w:sz w:val="24"/>
          <w:szCs w:val="24"/>
        </w:rPr>
        <w:t>Piotrowice</w:t>
      </w:r>
      <w:r w:rsidR="0090410B" w:rsidRPr="002A5BC5">
        <w:rPr>
          <w:sz w:val="24"/>
          <w:szCs w:val="24"/>
        </w:rPr>
        <w:t>,</w:t>
      </w:r>
      <w:r w:rsidRPr="002A5BC5">
        <w:rPr>
          <w:sz w:val="24"/>
          <w:szCs w:val="24"/>
        </w:rPr>
        <w:t xml:space="preserve"> zwaną dalej „zmianą planu”.</w:t>
      </w:r>
      <w:r w:rsidR="00EA5707" w:rsidRPr="002A5BC5">
        <w:rPr>
          <w:sz w:val="24"/>
          <w:szCs w:val="24"/>
        </w:rPr>
        <w:t xml:space="preserve"> Uchwała</w:t>
      </w:r>
      <w:r w:rsidR="00EA5707" w:rsidRPr="002A5BC5">
        <w:rPr>
          <w:rFonts w:eastAsia="Times New Roman"/>
          <w:sz w:val="24"/>
          <w:szCs w:val="24"/>
        </w:rPr>
        <w:t xml:space="preserve"> </w:t>
      </w:r>
      <w:r w:rsidR="002A5BC5">
        <w:rPr>
          <w:rFonts w:eastAsia="Times New Roman"/>
          <w:sz w:val="24"/>
          <w:szCs w:val="24"/>
        </w:rPr>
        <w:t xml:space="preserve">została </w:t>
      </w:r>
      <w:r w:rsidR="00EA5707" w:rsidRPr="002A5BC5">
        <w:rPr>
          <w:rFonts w:eastAsia="Times New Roman"/>
          <w:sz w:val="24"/>
          <w:szCs w:val="24"/>
        </w:rPr>
        <w:t xml:space="preserve">wywołana na wniosek </w:t>
      </w:r>
      <w:r w:rsidR="001D15C4" w:rsidRPr="002A5BC5">
        <w:rPr>
          <w:rFonts w:eastAsia="Times New Roman"/>
          <w:sz w:val="24"/>
          <w:szCs w:val="24"/>
        </w:rPr>
        <w:t xml:space="preserve">Inwestora ENERGA – OPERATOR S.A. z siedzibą w Gdańsku z dnia 2 marca 2020 r. </w:t>
      </w:r>
      <w:r w:rsidR="002C27E2">
        <w:rPr>
          <w:rFonts w:eastAsia="Times New Roman"/>
          <w:sz w:val="24"/>
          <w:szCs w:val="24"/>
        </w:rPr>
        <w:t xml:space="preserve">i </w:t>
      </w:r>
      <w:r w:rsidR="001D15C4" w:rsidRPr="002A5BC5">
        <w:rPr>
          <w:rFonts w:eastAsia="Times New Roman"/>
          <w:sz w:val="24"/>
          <w:szCs w:val="24"/>
        </w:rPr>
        <w:t xml:space="preserve">zakłada dostosowanie </w:t>
      </w:r>
      <w:r w:rsidR="002C27E2">
        <w:rPr>
          <w:rFonts w:eastAsia="Times New Roman"/>
          <w:sz w:val="24"/>
          <w:szCs w:val="24"/>
        </w:rPr>
        <w:t xml:space="preserve">zmiany </w:t>
      </w:r>
      <w:r w:rsidR="001D15C4" w:rsidRPr="002A5BC5">
        <w:rPr>
          <w:rFonts w:eastAsia="Times New Roman"/>
          <w:sz w:val="24"/>
          <w:szCs w:val="24"/>
        </w:rPr>
        <w:t xml:space="preserve">planu dla realizacji celu publicznego, jakim jest budowa linii elektroenergetycznej WN-110 </w:t>
      </w:r>
      <w:proofErr w:type="spellStart"/>
      <w:r w:rsidR="001D15C4" w:rsidRPr="002A5BC5">
        <w:rPr>
          <w:rFonts w:eastAsia="Times New Roman"/>
          <w:sz w:val="24"/>
          <w:szCs w:val="24"/>
        </w:rPr>
        <w:t>kV</w:t>
      </w:r>
      <w:proofErr w:type="spellEnd"/>
      <w:r w:rsidR="001D15C4" w:rsidRPr="002A5BC5">
        <w:rPr>
          <w:rFonts w:eastAsia="Times New Roman"/>
          <w:sz w:val="24"/>
          <w:szCs w:val="24"/>
        </w:rPr>
        <w:t xml:space="preserve"> </w:t>
      </w:r>
      <w:r w:rsidR="002C27E2">
        <w:rPr>
          <w:rFonts w:eastAsia="Times New Roman"/>
          <w:sz w:val="24"/>
          <w:szCs w:val="24"/>
        </w:rPr>
        <w:t>na terenie</w:t>
      </w:r>
      <w:r w:rsidR="001D15C4" w:rsidRPr="002A5BC5">
        <w:rPr>
          <w:rFonts w:eastAsia="Times New Roman"/>
          <w:sz w:val="24"/>
          <w:szCs w:val="24"/>
        </w:rPr>
        <w:t xml:space="preserve"> gminy </w:t>
      </w:r>
      <w:r w:rsidR="002A5BC5" w:rsidRPr="002A5BC5">
        <w:rPr>
          <w:rFonts w:eastAsia="Times New Roman"/>
          <w:sz w:val="24"/>
          <w:szCs w:val="24"/>
        </w:rPr>
        <w:t>Sł</w:t>
      </w:r>
      <w:r w:rsidR="001D15C4" w:rsidRPr="002A5BC5">
        <w:rPr>
          <w:rFonts w:eastAsia="Times New Roman"/>
          <w:sz w:val="24"/>
          <w:szCs w:val="24"/>
        </w:rPr>
        <w:t>upca</w:t>
      </w:r>
      <w:r w:rsidR="002A5BC5" w:rsidRPr="002A5BC5">
        <w:rPr>
          <w:rFonts w:eastAsia="Times New Roman"/>
          <w:sz w:val="24"/>
          <w:szCs w:val="24"/>
        </w:rPr>
        <w:t xml:space="preserve"> </w:t>
      </w:r>
      <w:r w:rsidR="002C27E2">
        <w:rPr>
          <w:rFonts w:eastAsia="Times New Roman"/>
          <w:sz w:val="24"/>
          <w:szCs w:val="24"/>
        </w:rPr>
        <w:t>w</w:t>
      </w:r>
      <w:r w:rsidR="002A5BC5" w:rsidRPr="002A5BC5">
        <w:rPr>
          <w:rFonts w:eastAsia="Times New Roman"/>
          <w:sz w:val="24"/>
          <w:szCs w:val="24"/>
        </w:rPr>
        <w:t xml:space="preserve"> obręb</w:t>
      </w:r>
      <w:r w:rsidR="002C27E2">
        <w:rPr>
          <w:rFonts w:eastAsia="Times New Roman"/>
          <w:sz w:val="24"/>
          <w:szCs w:val="24"/>
        </w:rPr>
        <w:t>ach</w:t>
      </w:r>
      <w:r w:rsidR="002A5BC5" w:rsidRPr="002A5BC5">
        <w:rPr>
          <w:rFonts w:eastAsia="Times New Roman"/>
          <w:sz w:val="24"/>
          <w:szCs w:val="24"/>
        </w:rPr>
        <w:t xml:space="preserve"> Kochowo, Józefowo i Piotrowice. Linia energetyczna zasilać będzie stację GPZ 110/15 </w:t>
      </w:r>
      <w:proofErr w:type="spellStart"/>
      <w:r w:rsidR="002A5BC5" w:rsidRPr="002A5BC5">
        <w:rPr>
          <w:rFonts w:eastAsia="Times New Roman"/>
          <w:sz w:val="24"/>
          <w:szCs w:val="24"/>
        </w:rPr>
        <w:t>kV</w:t>
      </w:r>
      <w:proofErr w:type="spellEnd"/>
      <w:r w:rsidR="002A5BC5" w:rsidRPr="002A5BC5">
        <w:rPr>
          <w:rFonts w:eastAsia="Times New Roman"/>
          <w:sz w:val="24"/>
          <w:szCs w:val="24"/>
        </w:rPr>
        <w:t xml:space="preserve"> Powidz, w związku z rozbudową 33 Bazy Lotnictwa Transportowego Powidz. </w:t>
      </w:r>
      <w:r w:rsidR="002A5BC5">
        <w:rPr>
          <w:rFonts w:eastAsia="Times New Roman"/>
          <w:sz w:val="24"/>
          <w:szCs w:val="24"/>
        </w:rPr>
        <w:t xml:space="preserve">Budowana linia elektroenergetyczna 110 </w:t>
      </w:r>
      <w:proofErr w:type="spellStart"/>
      <w:r w:rsidR="002A5BC5">
        <w:rPr>
          <w:rFonts w:eastAsia="Times New Roman"/>
          <w:sz w:val="24"/>
          <w:szCs w:val="24"/>
        </w:rPr>
        <w:t>kV</w:t>
      </w:r>
      <w:proofErr w:type="spellEnd"/>
      <w:r w:rsidR="002A5BC5">
        <w:rPr>
          <w:rFonts w:eastAsia="Times New Roman"/>
          <w:sz w:val="24"/>
          <w:szCs w:val="24"/>
        </w:rPr>
        <w:t xml:space="preserve"> ma również na celu zapewnienie bezpieczeństwa energetycznego dla regionu poprzez umożliwienie dostaw energii dla odbiorców zasilanych ze stacji GPZ Słupca w przypadku awarii jednego z ciągów zasilania. </w:t>
      </w:r>
    </w:p>
    <w:p w14:paraId="681A7D90" w14:textId="3E5A0FA6" w:rsidR="00E04E84" w:rsidRPr="006726B1" w:rsidRDefault="00E04E84" w:rsidP="00E04E84">
      <w:pPr>
        <w:pStyle w:val="Tekstpodstawowywcity"/>
        <w:ind w:firstLine="709"/>
        <w:rPr>
          <w:rFonts w:ascii="Times New Roman" w:hAnsi="Times New Roman" w:cs="Arial"/>
          <w:iCs/>
          <w:sz w:val="24"/>
          <w:szCs w:val="24"/>
        </w:rPr>
      </w:pPr>
      <w:r w:rsidRPr="006726B1">
        <w:rPr>
          <w:rFonts w:ascii="Times New Roman" w:hAnsi="Times New Roman" w:cs="Arial"/>
          <w:iCs/>
          <w:sz w:val="24"/>
          <w:szCs w:val="24"/>
        </w:rPr>
        <w:t>Zgodnie z ustawą z dnia 27 marca 2003 r. o planowaniu i zagospodarowaniu przestrzennym (</w:t>
      </w:r>
      <w:bookmarkStart w:id="0" w:name="_Hlk37770640"/>
      <w:bookmarkStart w:id="1" w:name="_Hlk73206867"/>
      <w:proofErr w:type="spellStart"/>
      <w:r w:rsidR="001F3AB6" w:rsidRPr="006726B1">
        <w:rPr>
          <w:rFonts w:ascii="Times New Roman" w:hAnsi="Times New Roman" w:cs="Arial"/>
          <w:iCs/>
          <w:sz w:val="24"/>
          <w:szCs w:val="24"/>
        </w:rPr>
        <w:t>t.j</w:t>
      </w:r>
      <w:proofErr w:type="spellEnd"/>
      <w:r w:rsidR="001F3AB6" w:rsidRPr="006726B1">
        <w:rPr>
          <w:rFonts w:ascii="Times New Roman" w:hAnsi="Times New Roman" w:cs="Arial"/>
          <w:iCs/>
          <w:sz w:val="24"/>
          <w:szCs w:val="24"/>
        </w:rPr>
        <w:t xml:space="preserve">. </w:t>
      </w:r>
      <w:bookmarkStart w:id="2" w:name="_Hlk525153779"/>
      <w:bookmarkStart w:id="3" w:name="_Hlk531201995"/>
      <w:r w:rsidR="001F3AB6" w:rsidRPr="006726B1">
        <w:rPr>
          <w:rFonts w:ascii="Times New Roman" w:hAnsi="Times New Roman" w:cs="Arial"/>
          <w:iCs/>
          <w:sz w:val="24"/>
          <w:szCs w:val="24"/>
        </w:rPr>
        <w:t xml:space="preserve">Dz. U. </w:t>
      </w:r>
      <w:bookmarkEnd w:id="0"/>
      <w:bookmarkEnd w:id="1"/>
      <w:bookmarkEnd w:id="2"/>
      <w:bookmarkEnd w:id="3"/>
      <w:r w:rsidR="001F3AB6" w:rsidRPr="006726B1">
        <w:rPr>
          <w:rFonts w:ascii="Times New Roman" w:hAnsi="Times New Roman" w:cs="Arial"/>
          <w:iCs/>
          <w:sz w:val="24"/>
          <w:szCs w:val="24"/>
        </w:rPr>
        <w:t>z 2022 r. poz. 503</w:t>
      </w:r>
      <w:r w:rsidR="008F0249">
        <w:rPr>
          <w:rFonts w:ascii="Times New Roman" w:hAnsi="Times New Roman" w:cs="Arial"/>
          <w:iCs/>
          <w:sz w:val="24"/>
          <w:szCs w:val="24"/>
        </w:rPr>
        <w:t xml:space="preserve"> ze zm.</w:t>
      </w:r>
      <w:r w:rsidRPr="006726B1">
        <w:rPr>
          <w:rFonts w:ascii="Times New Roman" w:hAnsi="Times New Roman" w:cs="Arial"/>
          <w:iCs/>
          <w:sz w:val="24"/>
          <w:szCs w:val="24"/>
        </w:rPr>
        <w:t>), została przeprowadzona procedura sporządzenia zmiany planu, przewidziana w art. 17.</w:t>
      </w:r>
    </w:p>
    <w:p w14:paraId="5B4FF0A0" w14:textId="58D44605" w:rsidR="00E04E84" w:rsidRPr="00167ECA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167ECA">
        <w:rPr>
          <w:sz w:val="24"/>
          <w:szCs w:val="24"/>
        </w:rPr>
        <w:t xml:space="preserve">Stosownie do art. 17 pkt 1 ww. ustawy, ogłoszenie o przystąpieniu do sporządzenia zmiany planu ukazało się w gazecie „Gazeta Słupecka” w dniu </w:t>
      </w:r>
      <w:r w:rsidR="00167ECA" w:rsidRPr="00167ECA">
        <w:rPr>
          <w:sz w:val="24"/>
          <w:szCs w:val="24"/>
        </w:rPr>
        <w:t>19 października</w:t>
      </w:r>
      <w:r w:rsidR="00EA5707" w:rsidRPr="00167ECA">
        <w:rPr>
          <w:sz w:val="24"/>
          <w:szCs w:val="24"/>
        </w:rPr>
        <w:t xml:space="preserve"> 202</w:t>
      </w:r>
      <w:r w:rsidR="0063406E" w:rsidRPr="00167ECA">
        <w:rPr>
          <w:sz w:val="24"/>
          <w:szCs w:val="24"/>
        </w:rPr>
        <w:t xml:space="preserve">1 </w:t>
      </w:r>
      <w:r w:rsidRPr="00167ECA">
        <w:rPr>
          <w:sz w:val="24"/>
          <w:szCs w:val="24"/>
        </w:rPr>
        <w:t xml:space="preserve">r., </w:t>
      </w:r>
      <w:r w:rsidR="00BE505B" w:rsidRPr="00167ECA">
        <w:rPr>
          <w:sz w:val="24"/>
          <w:szCs w:val="24"/>
        </w:rPr>
        <w:t xml:space="preserve">w dniu </w:t>
      </w:r>
      <w:r w:rsidR="00167ECA">
        <w:rPr>
          <w:sz w:val="24"/>
          <w:szCs w:val="24"/>
        </w:rPr>
        <w:t xml:space="preserve">13 października 2021 r. </w:t>
      </w:r>
      <w:r w:rsidR="00BE505B" w:rsidRPr="00167ECA">
        <w:rPr>
          <w:sz w:val="24"/>
          <w:szCs w:val="24"/>
        </w:rPr>
        <w:t xml:space="preserve">obwieszczenie wywieszono na tablicy ogłoszeń Urzędu Gminy w Słupcy </w:t>
      </w:r>
      <w:r w:rsidR="00D0438E" w:rsidRPr="00167ECA">
        <w:rPr>
          <w:sz w:val="24"/>
          <w:szCs w:val="24"/>
        </w:rPr>
        <w:t xml:space="preserve">a zdjęto w dniu </w:t>
      </w:r>
      <w:r w:rsidR="00167ECA" w:rsidRPr="00167ECA">
        <w:rPr>
          <w:sz w:val="24"/>
          <w:szCs w:val="24"/>
        </w:rPr>
        <w:t>17 listopada</w:t>
      </w:r>
      <w:r w:rsidR="00EA5707" w:rsidRPr="00167ECA">
        <w:rPr>
          <w:sz w:val="24"/>
          <w:szCs w:val="24"/>
        </w:rPr>
        <w:t xml:space="preserve"> 202</w:t>
      </w:r>
      <w:r w:rsidR="0063406E" w:rsidRPr="00167ECA">
        <w:rPr>
          <w:sz w:val="24"/>
          <w:szCs w:val="24"/>
        </w:rPr>
        <w:t xml:space="preserve">1 </w:t>
      </w:r>
      <w:r w:rsidRPr="00167ECA">
        <w:rPr>
          <w:sz w:val="24"/>
          <w:szCs w:val="24"/>
        </w:rPr>
        <w:t>r.</w:t>
      </w:r>
      <w:r w:rsidR="00BE505B" w:rsidRPr="00167ECA">
        <w:rPr>
          <w:sz w:val="24"/>
          <w:szCs w:val="24"/>
        </w:rPr>
        <w:t>, jednocześnie opublikowano je</w:t>
      </w:r>
      <w:r w:rsidRPr="00167ECA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63406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167ECA">
        <w:rPr>
          <w:sz w:val="24"/>
          <w:szCs w:val="24"/>
        </w:rPr>
        <w:t xml:space="preserve">W terminie określonym w ogłoszeniu i obwieszczeniu nie został złożony żaden wniosek do </w:t>
      </w:r>
      <w:r w:rsidRPr="0063406E">
        <w:rPr>
          <w:sz w:val="24"/>
          <w:szCs w:val="24"/>
        </w:rPr>
        <w:t>projektu zmiany planu.</w:t>
      </w:r>
    </w:p>
    <w:p w14:paraId="37F9E852" w14:textId="0693780C" w:rsidR="00E04E84" w:rsidRPr="002A1084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lastRenderedPageBreak/>
        <w:t xml:space="preserve">Stosownie do art. 17 pkt 2 ww. ustawy o planowaniu i zagospodarowaniu przestrzennym, pismem nr </w:t>
      </w:r>
      <w:r w:rsidR="00755F3F" w:rsidRPr="002A1084">
        <w:rPr>
          <w:rFonts w:ascii="Times New Roman" w:hAnsi="Times New Roman"/>
          <w:sz w:val="24"/>
          <w:szCs w:val="24"/>
        </w:rPr>
        <w:t>GP.6722.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755F3F"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KJP</w:t>
      </w:r>
      <w:r w:rsidR="003E5405" w:rsidRPr="002A1084">
        <w:rPr>
          <w:rFonts w:ascii="Times New Roman" w:hAnsi="Times New Roman"/>
          <w:sz w:val="24"/>
          <w:szCs w:val="24"/>
        </w:rPr>
        <w:t>.</w:t>
      </w:r>
      <w:r w:rsidR="00755F3F" w:rsidRPr="002A1084">
        <w:rPr>
          <w:rFonts w:ascii="Times New Roman" w:hAnsi="Times New Roman"/>
          <w:sz w:val="24"/>
          <w:szCs w:val="24"/>
        </w:rPr>
        <w:t>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Pr="002A1084">
        <w:rPr>
          <w:rFonts w:ascii="Times New Roman" w:hAnsi="Times New Roman"/>
          <w:sz w:val="24"/>
          <w:szCs w:val="24"/>
        </w:rPr>
        <w:t xml:space="preserve"> z dnia</w:t>
      </w:r>
      <w:r w:rsidR="000A55CC" w:rsidRPr="002A1084">
        <w:rPr>
          <w:rFonts w:ascii="Times New Roman" w:hAnsi="Times New Roman"/>
          <w:sz w:val="24"/>
          <w:szCs w:val="24"/>
        </w:rPr>
        <w:t xml:space="preserve"> </w:t>
      </w:r>
      <w:r w:rsidR="002A1084" w:rsidRPr="002A1084">
        <w:rPr>
          <w:rFonts w:ascii="Times New Roman" w:hAnsi="Times New Roman"/>
          <w:sz w:val="24"/>
          <w:szCs w:val="24"/>
        </w:rPr>
        <w:t>12.10.2021</w:t>
      </w:r>
      <w:r w:rsidR="00B0302E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>r. powiadomione zostały instytucje oraz organy właściwe do uzgadniania i opiniowania zmiany planu.</w:t>
      </w:r>
    </w:p>
    <w:p w14:paraId="09526C4E" w14:textId="09FD33D5" w:rsidR="00E04E84" w:rsidRPr="002A1084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oddziaływania na środowisko od Regionalnego Dyrektora Ochrony Środowiska w Poznaniu pismo nr </w:t>
      </w:r>
      <w:r w:rsidR="003E5405" w:rsidRPr="002A1084">
        <w:rPr>
          <w:rFonts w:ascii="Times New Roman" w:hAnsi="Times New Roman"/>
          <w:sz w:val="24"/>
          <w:szCs w:val="24"/>
        </w:rPr>
        <w:t>WOO-III.411.</w:t>
      </w:r>
      <w:r w:rsidR="002A1084" w:rsidRPr="002A1084">
        <w:rPr>
          <w:rFonts w:ascii="Times New Roman" w:hAnsi="Times New Roman"/>
          <w:sz w:val="24"/>
          <w:szCs w:val="24"/>
        </w:rPr>
        <w:t>433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3E5405"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PW</w:t>
      </w:r>
      <w:r w:rsidR="003E5405" w:rsidRPr="002A1084">
        <w:rPr>
          <w:rFonts w:ascii="Times New Roman" w:hAnsi="Times New Roman"/>
          <w:sz w:val="24"/>
          <w:szCs w:val="24"/>
        </w:rPr>
        <w:t>.1</w:t>
      </w:r>
      <w:r w:rsidRPr="002A1084">
        <w:rPr>
          <w:rFonts w:ascii="Times New Roman" w:hAnsi="Times New Roman"/>
          <w:sz w:val="24"/>
          <w:szCs w:val="24"/>
        </w:rPr>
        <w:t xml:space="preserve"> z dnia </w:t>
      </w:r>
      <w:r w:rsidR="002A1084" w:rsidRPr="002A1084">
        <w:rPr>
          <w:rFonts w:ascii="Times New Roman" w:hAnsi="Times New Roman"/>
          <w:sz w:val="24"/>
          <w:szCs w:val="24"/>
        </w:rPr>
        <w:t>15.11.2021</w:t>
      </w:r>
      <w:r w:rsidRPr="002A1084">
        <w:rPr>
          <w:rFonts w:ascii="Times New Roman" w:hAnsi="Times New Roman"/>
          <w:sz w:val="24"/>
          <w:szCs w:val="24"/>
        </w:rPr>
        <w:t xml:space="preserve"> r. oraz od Państwowego Powiatowego Inspektora Sanitarnego w Słupcy pismo nr </w:t>
      </w:r>
      <w:r w:rsidR="003E5405" w:rsidRPr="002A1084">
        <w:rPr>
          <w:rFonts w:ascii="Times New Roman" w:hAnsi="Times New Roman"/>
          <w:sz w:val="24"/>
          <w:szCs w:val="24"/>
        </w:rPr>
        <w:t>ON-NS.9011.7.</w:t>
      </w:r>
      <w:r w:rsidR="002A1084" w:rsidRPr="002A1084">
        <w:rPr>
          <w:rFonts w:ascii="Times New Roman" w:hAnsi="Times New Roman"/>
          <w:sz w:val="24"/>
          <w:szCs w:val="24"/>
        </w:rPr>
        <w:t>13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90410B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 xml:space="preserve">z dnia </w:t>
      </w:r>
      <w:r w:rsidR="002A1084" w:rsidRPr="002A1084">
        <w:rPr>
          <w:rFonts w:ascii="Times New Roman" w:hAnsi="Times New Roman"/>
          <w:sz w:val="24"/>
          <w:szCs w:val="24"/>
        </w:rPr>
        <w:t>02.11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3E5405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>r.</w:t>
      </w:r>
    </w:p>
    <w:p w14:paraId="168CF944" w14:textId="5108D4F9" w:rsidR="006726B1" w:rsidRPr="00167ECA" w:rsidRDefault="006726B1" w:rsidP="006726B1">
      <w:pPr>
        <w:spacing w:line="360" w:lineRule="auto"/>
        <w:ind w:firstLine="709"/>
        <w:jc w:val="both"/>
        <w:rPr>
          <w:sz w:val="24"/>
          <w:szCs w:val="24"/>
        </w:rPr>
      </w:pPr>
      <w:r w:rsidRPr="002A1084">
        <w:rPr>
          <w:sz w:val="24"/>
          <w:szCs w:val="24"/>
        </w:rPr>
        <w:t xml:space="preserve">Po dokonaniu zmiany w zakresie granic obszaru objętego zmianą planu, stosownie do art. </w:t>
      </w:r>
      <w:r w:rsidRPr="00167ECA">
        <w:rPr>
          <w:sz w:val="24"/>
          <w:szCs w:val="24"/>
        </w:rPr>
        <w:t xml:space="preserve">17 pkt 1 ww. ustawy, drugie ogłoszenie o przystąpieniu do sporządzenia zmiany planu ukazało się w gazecie „Gazeta Słupecka” w dniu </w:t>
      </w:r>
      <w:r w:rsidR="004F523A" w:rsidRPr="00167ECA">
        <w:rPr>
          <w:sz w:val="24"/>
          <w:szCs w:val="24"/>
        </w:rPr>
        <w:t>10 maja</w:t>
      </w:r>
      <w:r w:rsidRPr="00167ECA">
        <w:rPr>
          <w:sz w:val="24"/>
          <w:szCs w:val="24"/>
        </w:rPr>
        <w:t xml:space="preserve"> 2022</w:t>
      </w:r>
      <w:r w:rsidR="004F523A" w:rsidRPr="00167ECA">
        <w:rPr>
          <w:sz w:val="24"/>
          <w:szCs w:val="24"/>
        </w:rPr>
        <w:t xml:space="preserve"> </w:t>
      </w:r>
      <w:r w:rsidRPr="00167ECA">
        <w:rPr>
          <w:sz w:val="24"/>
          <w:szCs w:val="24"/>
        </w:rPr>
        <w:t xml:space="preserve">r., w tym samym dniu obwieszczenie wywieszono na tablicy ogłoszeń Urzędu Gminy w Słupcy a zdjęto w dniu </w:t>
      </w:r>
      <w:r w:rsidR="00167ECA" w:rsidRPr="00167ECA">
        <w:rPr>
          <w:sz w:val="24"/>
          <w:szCs w:val="24"/>
        </w:rPr>
        <w:t>8 czerwca</w:t>
      </w:r>
      <w:r w:rsidRPr="00167ECA">
        <w:rPr>
          <w:sz w:val="24"/>
          <w:szCs w:val="24"/>
        </w:rPr>
        <w:t xml:space="preserve"> 2022</w:t>
      </w:r>
      <w:r w:rsidR="0063406E" w:rsidRPr="00167ECA">
        <w:rPr>
          <w:sz w:val="24"/>
          <w:szCs w:val="24"/>
        </w:rPr>
        <w:t xml:space="preserve"> </w:t>
      </w:r>
      <w:r w:rsidRPr="00167ECA">
        <w:rPr>
          <w:sz w:val="24"/>
          <w:szCs w:val="24"/>
        </w:rPr>
        <w:t>r., jednocześnie opublikowano je na stronie internetowej tut. Urzędu BIP Słupca.</w:t>
      </w:r>
    </w:p>
    <w:p w14:paraId="394365C4" w14:textId="77777777" w:rsidR="006726B1" w:rsidRPr="004F523A" w:rsidRDefault="006726B1" w:rsidP="006726B1">
      <w:pPr>
        <w:spacing w:line="360" w:lineRule="auto"/>
        <w:ind w:firstLine="709"/>
        <w:jc w:val="both"/>
        <w:rPr>
          <w:sz w:val="24"/>
          <w:szCs w:val="24"/>
        </w:rPr>
      </w:pPr>
      <w:r w:rsidRPr="004F523A">
        <w:rPr>
          <w:sz w:val="24"/>
          <w:szCs w:val="24"/>
        </w:rPr>
        <w:t>W terminie określonym w ogłoszeniu i obwieszczeniu nie został złożony żaden wniosek do projektu zmiany planu.</w:t>
      </w:r>
    </w:p>
    <w:p w14:paraId="69A3F5A7" w14:textId="0BA419F3" w:rsidR="006726B1" w:rsidRPr="002A1084" w:rsidRDefault="006726B1" w:rsidP="006726B1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Stosownie do art. 17 pkt 2 ww. ustawy o planowaniu i zagospodarowaniu przestrzennym, pismem nr G</w:t>
      </w:r>
      <w:r w:rsidR="002A1084" w:rsidRPr="002A1084">
        <w:rPr>
          <w:rFonts w:ascii="Times New Roman" w:hAnsi="Times New Roman"/>
          <w:sz w:val="24"/>
          <w:szCs w:val="24"/>
        </w:rPr>
        <w:t>P</w:t>
      </w:r>
      <w:r w:rsidRPr="002A1084">
        <w:rPr>
          <w:rFonts w:ascii="Times New Roman" w:hAnsi="Times New Roman"/>
          <w:sz w:val="24"/>
          <w:szCs w:val="24"/>
        </w:rPr>
        <w:t>.6722.</w:t>
      </w:r>
      <w:r w:rsidR="002A1084" w:rsidRPr="002A1084">
        <w:rPr>
          <w:rFonts w:ascii="Times New Roman" w:hAnsi="Times New Roman"/>
          <w:sz w:val="24"/>
          <w:szCs w:val="24"/>
        </w:rPr>
        <w:t>4</w:t>
      </w:r>
      <w:r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KJP</w:t>
      </w:r>
      <w:r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Pr="002A1084">
        <w:rPr>
          <w:rFonts w:ascii="Times New Roman" w:hAnsi="Times New Roman"/>
          <w:sz w:val="24"/>
          <w:szCs w:val="24"/>
        </w:rPr>
        <w:t xml:space="preserve"> z dnia </w:t>
      </w:r>
      <w:r w:rsidR="002A1084" w:rsidRPr="002A1084">
        <w:rPr>
          <w:rFonts w:ascii="Times New Roman" w:hAnsi="Times New Roman"/>
          <w:sz w:val="24"/>
          <w:szCs w:val="24"/>
        </w:rPr>
        <w:t>05.05</w:t>
      </w:r>
      <w:r w:rsidRPr="002A1084">
        <w:rPr>
          <w:rFonts w:ascii="Times New Roman" w:hAnsi="Times New Roman"/>
          <w:sz w:val="24"/>
          <w:szCs w:val="24"/>
        </w:rPr>
        <w:t>.2022 r. powiadomione zostały instytucje oraz organy właściwe do uzgadniania i opiniowania zmiany planu.</w:t>
      </w:r>
    </w:p>
    <w:p w14:paraId="5214059F" w14:textId="01F7AEDD" w:rsidR="006726B1" w:rsidRPr="002A1084" w:rsidRDefault="006726B1" w:rsidP="006726B1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WOO-III.411.1</w:t>
      </w:r>
      <w:r w:rsidR="002A1084" w:rsidRPr="002A1084">
        <w:rPr>
          <w:rFonts w:ascii="Times New Roman" w:hAnsi="Times New Roman"/>
          <w:sz w:val="24"/>
          <w:szCs w:val="24"/>
        </w:rPr>
        <w:t>87</w:t>
      </w:r>
      <w:r w:rsidRPr="002A1084">
        <w:rPr>
          <w:rFonts w:ascii="Times New Roman" w:hAnsi="Times New Roman"/>
          <w:sz w:val="24"/>
          <w:szCs w:val="24"/>
        </w:rPr>
        <w:t xml:space="preserve">.2022.MM.1 z dnia </w:t>
      </w:r>
      <w:r w:rsidR="002A1084" w:rsidRPr="002A1084">
        <w:rPr>
          <w:rFonts w:ascii="Times New Roman" w:hAnsi="Times New Roman"/>
          <w:sz w:val="24"/>
          <w:szCs w:val="24"/>
        </w:rPr>
        <w:t>07.06</w:t>
      </w:r>
      <w:r w:rsidRPr="002A1084">
        <w:rPr>
          <w:rFonts w:ascii="Times New Roman" w:hAnsi="Times New Roman"/>
          <w:sz w:val="24"/>
          <w:szCs w:val="24"/>
        </w:rPr>
        <w:t>.2022 r. oraz od Państwowego Powiatowego Inspektora Sanitarnego w Słupcy pismo nr ON-NS.9011.7.</w:t>
      </w:r>
      <w:r w:rsidR="002A1084" w:rsidRPr="002A1084">
        <w:rPr>
          <w:rFonts w:ascii="Times New Roman" w:hAnsi="Times New Roman"/>
          <w:sz w:val="24"/>
          <w:szCs w:val="24"/>
        </w:rPr>
        <w:t>11</w:t>
      </w:r>
      <w:r w:rsidRPr="002A1084">
        <w:rPr>
          <w:rFonts w:ascii="Times New Roman" w:hAnsi="Times New Roman"/>
          <w:sz w:val="24"/>
          <w:szCs w:val="24"/>
        </w:rPr>
        <w:t xml:space="preserve">.2022 z dnia </w:t>
      </w:r>
      <w:r w:rsidR="002A1084" w:rsidRPr="002A1084">
        <w:rPr>
          <w:rFonts w:ascii="Times New Roman" w:hAnsi="Times New Roman"/>
          <w:sz w:val="24"/>
          <w:szCs w:val="24"/>
        </w:rPr>
        <w:t>25.05</w:t>
      </w:r>
      <w:r w:rsidRPr="002A1084">
        <w:rPr>
          <w:rFonts w:ascii="Times New Roman" w:hAnsi="Times New Roman"/>
          <w:sz w:val="24"/>
          <w:szCs w:val="24"/>
        </w:rPr>
        <w:t>.2022 r.</w:t>
      </w:r>
    </w:p>
    <w:p w14:paraId="3A11AFFF" w14:textId="3777ED4E" w:rsidR="00E04E84" w:rsidRPr="006726B1" w:rsidRDefault="00E04E84" w:rsidP="00E04E84">
      <w:pPr>
        <w:pStyle w:val="Tekstpodstawowywcity"/>
        <w:ind w:firstLine="709"/>
        <w:rPr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6726B1">
        <w:rPr>
          <w:rFonts w:ascii="Times New Roman" w:hAnsi="Times New Roman"/>
          <w:sz w:val="24"/>
          <w:szCs w:val="24"/>
        </w:rPr>
        <w:t>,</w:t>
      </w:r>
      <w:r w:rsidRPr="006726B1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6726B1">
        <w:rPr>
          <w:rFonts w:ascii="Times New Roman" w:hAnsi="Times New Roman"/>
          <w:sz w:val="24"/>
          <w:szCs w:val="24"/>
        </w:rPr>
        <w:t xml:space="preserve">przy tym </w:t>
      </w:r>
      <w:r w:rsidRPr="006726B1">
        <w:rPr>
          <w:rFonts w:ascii="Times New Roman" w:hAnsi="Times New Roman"/>
          <w:sz w:val="24"/>
          <w:szCs w:val="24"/>
        </w:rPr>
        <w:t>ustalenia studium uwarunkowań i kierunków zagospodarowania przestrzennego gminy Słupca</w:t>
      </w:r>
      <w:r w:rsidR="00BE505B" w:rsidRPr="006726B1">
        <w:rPr>
          <w:rFonts w:ascii="Times New Roman" w:hAnsi="Times New Roman"/>
          <w:sz w:val="24"/>
          <w:szCs w:val="24"/>
        </w:rPr>
        <w:t xml:space="preserve"> oraz</w:t>
      </w:r>
      <w:r w:rsidRPr="006726B1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6726B1">
        <w:rPr>
          <w:sz w:val="24"/>
          <w:szCs w:val="24"/>
        </w:rPr>
        <w:t>.</w:t>
      </w:r>
    </w:p>
    <w:p w14:paraId="5399A44D" w14:textId="77777777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0323A2CC" w:rsidR="00E04E84" w:rsidRPr="006726B1" w:rsidRDefault="00E04E84" w:rsidP="00F81C5E">
      <w:pPr>
        <w:spacing w:line="360" w:lineRule="auto"/>
        <w:ind w:right="125" w:firstLine="708"/>
        <w:jc w:val="both"/>
        <w:rPr>
          <w:sz w:val="24"/>
          <w:szCs w:val="24"/>
        </w:rPr>
      </w:pPr>
      <w:r w:rsidRPr="006726B1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  <w:r w:rsidR="00917227" w:rsidRPr="006726B1">
        <w:rPr>
          <w:sz w:val="24"/>
          <w:szCs w:val="24"/>
        </w:rPr>
        <w:t>.</w:t>
      </w:r>
    </w:p>
    <w:p w14:paraId="31361AB1" w14:textId="77777777" w:rsidR="00917227" w:rsidRPr="006726B1" w:rsidRDefault="00917227" w:rsidP="00F81C5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Na obszarze objętym planem dopuszcza się możliwość zmiany przeznaczenia gruntów leśnych na cele nierolnicze i nieleśne:</w:t>
      </w:r>
    </w:p>
    <w:p w14:paraId="0A9300A4" w14:textId="29414576" w:rsidR="003E5405" w:rsidRPr="00FE087A" w:rsidRDefault="003E5405" w:rsidP="000C6DA0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FE087A">
        <w:rPr>
          <w:rFonts w:ascii="Times New Roman" w:hAnsi="Times New Roman"/>
          <w:sz w:val="24"/>
          <w:szCs w:val="24"/>
        </w:rPr>
        <w:lastRenderedPageBreak/>
        <w:t xml:space="preserve">zgodnie z decyzją Marszałka Województwa Wielkopolskiego nr </w:t>
      </w:r>
      <w:r w:rsidR="00FE087A" w:rsidRPr="00FE087A">
        <w:rPr>
          <w:rFonts w:ascii="Times New Roman" w:hAnsi="Times New Roman"/>
          <w:sz w:val="24"/>
          <w:szCs w:val="24"/>
        </w:rPr>
        <w:t>DR-I.7151.53.2022</w:t>
      </w:r>
      <w:r w:rsidRPr="00FE087A">
        <w:rPr>
          <w:rFonts w:ascii="Times New Roman" w:hAnsi="Times New Roman"/>
          <w:sz w:val="24"/>
          <w:szCs w:val="24"/>
        </w:rPr>
        <w:t xml:space="preserve"> z dnia </w:t>
      </w:r>
      <w:r w:rsidR="00FE087A" w:rsidRPr="00FE087A">
        <w:rPr>
          <w:rFonts w:ascii="Times New Roman" w:hAnsi="Times New Roman"/>
          <w:sz w:val="24"/>
          <w:szCs w:val="24"/>
        </w:rPr>
        <w:t>13.10.2022</w:t>
      </w:r>
      <w:r w:rsidRPr="00FE087A">
        <w:rPr>
          <w:rFonts w:ascii="Times New Roman" w:hAnsi="Times New Roman"/>
          <w:sz w:val="24"/>
          <w:szCs w:val="24"/>
        </w:rPr>
        <w:t xml:space="preserve"> r. wyrażono zgodę na przeznaczenie na cele nieleśne </w:t>
      </w:r>
      <w:r w:rsidR="00FE087A" w:rsidRPr="00FE087A">
        <w:rPr>
          <w:rFonts w:ascii="Times New Roman" w:hAnsi="Times New Roman"/>
          <w:sz w:val="24"/>
          <w:szCs w:val="24"/>
        </w:rPr>
        <w:t>1,1648</w:t>
      </w:r>
      <w:r w:rsidRPr="00FE087A">
        <w:rPr>
          <w:rFonts w:ascii="Times New Roman" w:hAnsi="Times New Roman"/>
          <w:sz w:val="24"/>
          <w:szCs w:val="24"/>
        </w:rPr>
        <w:t xml:space="preserve"> ha gruntów leśnych </w:t>
      </w:r>
      <w:r w:rsidR="00FE087A" w:rsidRPr="00FE087A">
        <w:rPr>
          <w:rFonts w:ascii="Times New Roman" w:hAnsi="Times New Roman"/>
          <w:sz w:val="24"/>
          <w:szCs w:val="24"/>
        </w:rPr>
        <w:t>niestanowiących</w:t>
      </w:r>
      <w:r w:rsidRPr="00FE087A">
        <w:rPr>
          <w:rFonts w:ascii="Times New Roman" w:hAnsi="Times New Roman"/>
          <w:sz w:val="24"/>
          <w:szCs w:val="24"/>
        </w:rPr>
        <w:t xml:space="preserve"> </w:t>
      </w:r>
      <w:r w:rsidR="00FE087A">
        <w:rPr>
          <w:rFonts w:ascii="Times New Roman" w:hAnsi="Times New Roman"/>
          <w:sz w:val="24"/>
          <w:szCs w:val="24"/>
        </w:rPr>
        <w:t xml:space="preserve">własności </w:t>
      </w:r>
      <w:r w:rsidRPr="00FE087A">
        <w:rPr>
          <w:rFonts w:ascii="Times New Roman" w:hAnsi="Times New Roman"/>
          <w:sz w:val="24"/>
          <w:szCs w:val="24"/>
        </w:rPr>
        <w:t xml:space="preserve">Skarbu Państwa, położonych w obrębie ewidencyjnym </w:t>
      </w:r>
      <w:r w:rsidR="00FE087A" w:rsidRPr="00FE087A">
        <w:rPr>
          <w:rFonts w:ascii="Times New Roman" w:hAnsi="Times New Roman"/>
          <w:sz w:val="24"/>
          <w:szCs w:val="24"/>
        </w:rPr>
        <w:t xml:space="preserve">Piotrowice na części działek </w:t>
      </w:r>
      <w:r w:rsidRPr="00FE087A">
        <w:rPr>
          <w:rFonts w:ascii="Times New Roman" w:hAnsi="Times New Roman"/>
          <w:sz w:val="24"/>
          <w:szCs w:val="24"/>
        </w:rPr>
        <w:t>ewidencyj</w:t>
      </w:r>
      <w:r w:rsidR="00FE087A" w:rsidRPr="00FE087A">
        <w:rPr>
          <w:rFonts w:ascii="Times New Roman" w:hAnsi="Times New Roman"/>
          <w:sz w:val="24"/>
          <w:szCs w:val="24"/>
        </w:rPr>
        <w:t>nych</w:t>
      </w:r>
      <w:r w:rsidRPr="00FE087A">
        <w:rPr>
          <w:rFonts w:ascii="Times New Roman" w:hAnsi="Times New Roman"/>
          <w:sz w:val="24"/>
          <w:szCs w:val="24"/>
        </w:rPr>
        <w:t xml:space="preserve"> nr </w:t>
      </w:r>
      <w:r w:rsidR="00FE087A" w:rsidRPr="00FE087A">
        <w:rPr>
          <w:rFonts w:ascii="Times New Roman" w:hAnsi="Times New Roman"/>
          <w:sz w:val="24"/>
          <w:szCs w:val="24"/>
        </w:rPr>
        <w:t>77, 78, 79, 81, 66, przewidzianych pod tereny infrastruktury technicznej – elektroenergetyki.</w:t>
      </w:r>
      <w:r w:rsidR="00C32590" w:rsidRPr="00FE087A">
        <w:rPr>
          <w:rFonts w:ascii="Times New Roman" w:hAnsi="Times New Roman"/>
          <w:sz w:val="24"/>
          <w:szCs w:val="24"/>
        </w:rPr>
        <w:tab/>
      </w:r>
    </w:p>
    <w:p w14:paraId="4E54F878" w14:textId="4CC06CDE" w:rsidR="00C32590" w:rsidRPr="00C32590" w:rsidRDefault="00C32590" w:rsidP="00C32590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zgodnie z decyzją Ministra Klimatu i Środowiska, nr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z dnia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r. wyrażono zgodę na przeznaczenie w miejscowym planie zagospodarowania przestrzennego na cele nierolnicze i nieleśne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ha gruntów leśnych będących własnością Skarbu Państwa stanowiących część działki ewidencyjnej nr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z obrębu ewidencyjnego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>,gmina Słupca</w:t>
      </w:r>
    </w:p>
    <w:p w14:paraId="3EB7AB48" w14:textId="21085832" w:rsidR="00F81C5E" w:rsidRPr="00FE087A" w:rsidRDefault="00917227" w:rsidP="00917227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FE087A">
        <w:rPr>
          <w:rFonts w:ascii="Times New Roman" w:hAnsi="Times New Roman"/>
          <w:sz w:val="24"/>
          <w:szCs w:val="24"/>
        </w:rPr>
        <w:t xml:space="preserve">zgodnie z decyzją Marszałka Województwa </w:t>
      </w:r>
      <w:r w:rsidR="00F81C5E" w:rsidRPr="00FE087A">
        <w:rPr>
          <w:rFonts w:ascii="Times New Roman" w:hAnsi="Times New Roman"/>
          <w:sz w:val="24"/>
          <w:szCs w:val="24"/>
        </w:rPr>
        <w:t>Wielkopolskiego</w:t>
      </w:r>
      <w:r w:rsidRPr="00FE087A">
        <w:rPr>
          <w:rFonts w:ascii="Times New Roman" w:hAnsi="Times New Roman"/>
          <w:sz w:val="24"/>
          <w:szCs w:val="24"/>
        </w:rPr>
        <w:t xml:space="preserve"> nr </w:t>
      </w:r>
      <w:r w:rsidR="00FE087A" w:rsidRPr="00FE087A">
        <w:rPr>
          <w:rFonts w:ascii="Times New Roman" w:hAnsi="Times New Roman"/>
          <w:sz w:val="24"/>
          <w:szCs w:val="24"/>
        </w:rPr>
        <w:t>DR-I.7151.55.2022</w:t>
      </w:r>
      <w:r w:rsidRPr="00FE087A">
        <w:rPr>
          <w:rFonts w:ascii="Times New Roman" w:hAnsi="Times New Roman"/>
          <w:sz w:val="24"/>
          <w:szCs w:val="24"/>
        </w:rPr>
        <w:t xml:space="preserve"> z dnia </w:t>
      </w:r>
      <w:r w:rsidR="00FE087A" w:rsidRPr="00FE087A">
        <w:rPr>
          <w:rFonts w:ascii="Times New Roman" w:hAnsi="Times New Roman"/>
          <w:sz w:val="24"/>
          <w:szCs w:val="24"/>
        </w:rPr>
        <w:t>13.10.2022</w:t>
      </w:r>
      <w:r w:rsidRPr="00FE087A">
        <w:rPr>
          <w:rFonts w:ascii="Times New Roman" w:hAnsi="Times New Roman"/>
          <w:sz w:val="24"/>
          <w:szCs w:val="24"/>
        </w:rPr>
        <w:t xml:space="preserve"> r. wyrażono zgodę na przeznaczenie na cele nieleśne </w:t>
      </w:r>
      <w:r w:rsidR="00FE087A" w:rsidRPr="00FE087A">
        <w:rPr>
          <w:rFonts w:ascii="Times New Roman" w:hAnsi="Times New Roman"/>
          <w:sz w:val="24"/>
          <w:szCs w:val="24"/>
        </w:rPr>
        <w:t>0,4761</w:t>
      </w:r>
      <w:r w:rsidRPr="00FE087A">
        <w:rPr>
          <w:rFonts w:ascii="Times New Roman" w:hAnsi="Times New Roman"/>
          <w:sz w:val="24"/>
          <w:szCs w:val="24"/>
        </w:rPr>
        <w:t xml:space="preserve"> gruntów leśnych </w:t>
      </w:r>
      <w:r w:rsidR="00FE087A" w:rsidRPr="00FE087A">
        <w:rPr>
          <w:rFonts w:ascii="Times New Roman" w:hAnsi="Times New Roman"/>
          <w:sz w:val="24"/>
          <w:szCs w:val="24"/>
        </w:rPr>
        <w:t>niestanowiących własności Skarbu Państwa</w:t>
      </w:r>
      <w:r w:rsidRPr="00FE087A">
        <w:rPr>
          <w:rFonts w:ascii="Times New Roman" w:hAnsi="Times New Roman"/>
          <w:sz w:val="24"/>
          <w:szCs w:val="24"/>
        </w:rPr>
        <w:t xml:space="preserve">, położonych w obrębie ewidencyjnym </w:t>
      </w:r>
      <w:r w:rsidR="00FE087A" w:rsidRPr="00FE087A">
        <w:rPr>
          <w:rFonts w:ascii="Times New Roman" w:hAnsi="Times New Roman"/>
          <w:sz w:val="24"/>
          <w:szCs w:val="24"/>
        </w:rPr>
        <w:t>Kochowo</w:t>
      </w:r>
      <w:r w:rsidRPr="00FE087A">
        <w:rPr>
          <w:rFonts w:ascii="Times New Roman" w:hAnsi="Times New Roman"/>
          <w:sz w:val="24"/>
          <w:szCs w:val="24"/>
        </w:rPr>
        <w:t xml:space="preserve"> na części dział</w:t>
      </w:r>
      <w:r w:rsidR="00FE087A" w:rsidRPr="00FE087A">
        <w:rPr>
          <w:rFonts w:ascii="Times New Roman" w:hAnsi="Times New Roman"/>
          <w:sz w:val="24"/>
          <w:szCs w:val="24"/>
        </w:rPr>
        <w:t>ek</w:t>
      </w:r>
      <w:r w:rsidRPr="00FE087A">
        <w:rPr>
          <w:rFonts w:ascii="Times New Roman" w:hAnsi="Times New Roman"/>
          <w:sz w:val="24"/>
          <w:szCs w:val="24"/>
        </w:rPr>
        <w:t xml:space="preserve"> ewidencyjn</w:t>
      </w:r>
      <w:r w:rsidR="00FE087A" w:rsidRPr="00FE087A">
        <w:rPr>
          <w:rFonts w:ascii="Times New Roman" w:hAnsi="Times New Roman"/>
          <w:sz w:val="24"/>
          <w:szCs w:val="24"/>
        </w:rPr>
        <w:t xml:space="preserve">ych </w:t>
      </w:r>
      <w:r w:rsidRPr="00FE087A">
        <w:rPr>
          <w:rFonts w:ascii="Times New Roman" w:hAnsi="Times New Roman"/>
          <w:sz w:val="24"/>
          <w:szCs w:val="24"/>
        </w:rPr>
        <w:t xml:space="preserve">nr </w:t>
      </w:r>
      <w:r w:rsidR="00FE087A" w:rsidRPr="00FE087A">
        <w:rPr>
          <w:rFonts w:ascii="Times New Roman" w:hAnsi="Times New Roman"/>
          <w:sz w:val="24"/>
          <w:szCs w:val="24"/>
        </w:rPr>
        <w:t>7/1, 244/31</w:t>
      </w:r>
      <w:r w:rsidRPr="00FE087A">
        <w:rPr>
          <w:rFonts w:ascii="Times New Roman" w:hAnsi="Times New Roman"/>
          <w:sz w:val="24"/>
          <w:szCs w:val="24"/>
        </w:rPr>
        <w:t xml:space="preserve">, przewidzianych pod </w:t>
      </w:r>
      <w:r w:rsidR="00FE087A" w:rsidRPr="00FE087A">
        <w:rPr>
          <w:rFonts w:ascii="Times New Roman" w:hAnsi="Times New Roman"/>
          <w:sz w:val="24"/>
          <w:szCs w:val="24"/>
        </w:rPr>
        <w:t>tereny elektroenergetyki.</w:t>
      </w:r>
    </w:p>
    <w:p w14:paraId="49F9A4CB" w14:textId="4243D368" w:rsidR="00E04E84" w:rsidRPr="00C32590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Wyłożenie </w:t>
      </w:r>
      <w:bookmarkStart w:id="4" w:name="_Hlk505588853"/>
      <w:r w:rsidRPr="00C32590">
        <w:rPr>
          <w:color w:val="808080" w:themeColor="background1" w:themeShade="80"/>
          <w:sz w:val="24"/>
          <w:szCs w:val="24"/>
        </w:rPr>
        <w:t xml:space="preserve">do publicznego wglądu projektu zmiany planu wraz z prognozą oddziaływania na środowisko - nastąpiło w dniach </w:t>
      </w:r>
      <w:r w:rsidRPr="00FE087A">
        <w:rPr>
          <w:color w:val="808080" w:themeColor="background1" w:themeShade="80"/>
          <w:sz w:val="24"/>
          <w:szCs w:val="24"/>
        </w:rPr>
        <w:t xml:space="preserve">od </w:t>
      </w:r>
      <w:r w:rsidR="00FE087A" w:rsidRPr="00FE087A">
        <w:rPr>
          <w:color w:val="808080" w:themeColor="background1" w:themeShade="80"/>
          <w:sz w:val="24"/>
          <w:szCs w:val="24"/>
        </w:rPr>
        <w:t xml:space="preserve">03.11.2022 r.  </w:t>
      </w:r>
      <w:r w:rsidR="00B0302E" w:rsidRPr="00FE087A">
        <w:rPr>
          <w:color w:val="808080" w:themeColor="background1" w:themeShade="80"/>
          <w:sz w:val="24"/>
          <w:szCs w:val="24"/>
        </w:rPr>
        <w:t xml:space="preserve">. </w:t>
      </w:r>
      <w:r w:rsidRPr="00FE087A">
        <w:rPr>
          <w:color w:val="808080" w:themeColor="background1" w:themeShade="80"/>
          <w:sz w:val="24"/>
          <w:szCs w:val="24"/>
        </w:rPr>
        <w:t xml:space="preserve">do </w:t>
      </w:r>
      <w:r w:rsidR="00917227" w:rsidRPr="00FE087A">
        <w:rPr>
          <w:color w:val="808080" w:themeColor="background1" w:themeShade="80"/>
          <w:sz w:val="24"/>
          <w:szCs w:val="24"/>
        </w:rPr>
        <w:tab/>
      </w:r>
      <w:r w:rsidR="00F557DF" w:rsidRPr="00FE087A">
        <w:rPr>
          <w:color w:val="808080" w:themeColor="background1" w:themeShade="80"/>
          <w:sz w:val="24"/>
          <w:szCs w:val="24"/>
        </w:rPr>
        <w:t>26.11.2022 r</w:t>
      </w:r>
      <w:r w:rsidR="00B0302E" w:rsidRPr="00FE087A">
        <w:rPr>
          <w:color w:val="808080" w:themeColor="background1" w:themeShade="80"/>
          <w:sz w:val="24"/>
          <w:szCs w:val="24"/>
        </w:rPr>
        <w:t>.</w:t>
      </w:r>
      <w:r w:rsidR="00B0302E" w:rsidRPr="008F0249">
        <w:rPr>
          <w:color w:val="FF0000"/>
          <w:sz w:val="24"/>
          <w:szCs w:val="24"/>
        </w:rPr>
        <w:t xml:space="preserve"> </w:t>
      </w:r>
      <w:r w:rsidRPr="00F557DF">
        <w:rPr>
          <w:sz w:val="24"/>
          <w:szCs w:val="24"/>
        </w:rPr>
        <w:t xml:space="preserve">Ogłoszenie o wyłożeniu do publicznego wglądu ww. projektu zmiany planu, ukazało się w gazecie „Gazeta Słupecka” w dniu </w:t>
      </w:r>
      <w:r w:rsidR="00F326D8" w:rsidRPr="00F557DF">
        <w:rPr>
          <w:sz w:val="24"/>
          <w:szCs w:val="24"/>
        </w:rPr>
        <w:t>25.10.2022</w:t>
      </w:r>
      <w:r w:rsidR="00B0302E" w:rsidRPr="00F557DF">
        <w:rPr>
          <w:sz w:val="24"/>
          <w:szCs w:val="24"/>
        </w:rPr>
        <w:t xml:space="preserve"> </w:t>
      </w:r>
      <w:r w:rsidR="00DA2E71" w:rsidRPr="00F557DF">
        <w:rPr>
          <w:sz w:val="24"/>
          <w:szCs w:val="24"/>
        </w:rPr>
        <w:t>r</w:t>
      </w:r>
      <w:r w:rsidRPr="00F557DF">
        <w:rPr>
          <w:sz w:val="24"/>
          <w:szCs w:val="24"/>
        </w:rPr>
        <w:t xml:space="preserve">. oraz na stronie internetowej Urzędu BIP Słupca, a obwieszczenie zostało wywieszone na tablicy Urzędu Gminy w Słupcy </w:t>
      </w:r>
      <w:r w:rsidR="00DA2E71" w:rsidRPr="00F557DF">
        <w:rPr>
          <w:sz w:val="24"/>
          <w:szCs w:val="24"/>
        </w:rPr>
        <w:t>w dniu</w:t>
      </w:r>
      <w:r w:rsidR="00BE505B" w:rsidRPr="00F557DF">
        <w:rPr>
          <w:sz w:val="24"/>
          <w:szCs w:val="24"/>
        </w:rPr>
        <w:t xml:space="preserve"> </w:t>
      </w:r>
      <w:r w:rsidR="00F326D8" w:rsidRPr="00F557DF">
        <w:rPr>
          <w:sz w:val="24"/>
          <w:szCs w:val="24"/>
        </w:rPr>
        <w:t>25.10.2022</w:t>
      </w:r>
      <w:r w:rsidR="00B0302E" w:rsidRPr="00F557DF">
        <w:rPr>
          <w:sz w:val="24"/>
          <w:szCs w:val="24"/>
        </w:rPr>
        <w:t xml:space="preserve"> </w:t>
      </w:r>
      <w:r w:rsidRPr="00F557DF">
        <w:rPr>
          <w:sz w:val="24"/>
          <w:szCs w:val="24"/>
        </w:rPr>
        <w:t>r</w:t>
      </w:r>
      <w:r w:rsidRPr="00C32590">
        <w:rPr>
          <w:color w:val="808080" w:themeColor="background1" w:themeShade="80"/>
          <w:sz w:val="24"/>
          <w:szCs w:val="24"/>
        </w:rPr>
        <w:t>.</w:t>
      </w:r>
      <w:r w:rsidR="00DA2E71" w:rsidRPr="00C32590">
        <w:rPr>
          <w:color w:val="808080" w:themeColor="background1" w:themeShade="80"/>
          <w:sz w:val="24"/>
          <w:szCs w:val="24"/>
        </w:rPr>
        <w:t xml:space="preserve">, a zdjęto w dniu </w:t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B0302E" w:rsidRPr="00C32590">
        <w:rPr>
          <w:color w:val="808080" w:themeColor="background1" w:themeShade="80"/>
          <w:sz w:val="24"/>
          <w:szCs w:val="24"/>
        </w:rPr>
        <w:t xml:space="preserve"> </w:t>
      </w:r>
      <w:r w:rsidR="00DA2E71" w:rsidRPr="00C32590">
        <w:rPr>
          <w:color w:val="808080" w:themeColor="background1" w:themeShade="80"/>
          <w:sz w:val="24"/>
          <w:szCs w:val="24"/>
        </w:rPr>
        <w:t>r.</w:t>
      </w:r>
      <w:r w:rsidRPr="00C32590">
        <w:rPr>
          <w:color w:val="808080" w:themeColor="background1" w:themeShade="80"/>
          <w:sz w:val="24"/>
          <w:szCs w:val="24"/>
        </w:rPr>
        <w:t xml:space="preserve"> </w:t>
      </w:r>
    </w:p>
    <w:bookmarkEnd w:id="4"/>
    <w:p w14:paraId="0933CAC1" w14:textId="4986A5DF" w:rsidR="00E04E84" w:rsidRPr="00C32590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 </w:t>
      </w:r>
      <w:r w:rsidRPr="00F326D8">
        <w:rPr>
          <w:color w:val="808080" w:themeColor="background1" w:themeShade="80"/>
          <w:sz w:val="24"/>
          <w:szCs w:val="24"/>
        </w:rPr>
        <w:t xml:space="preserve">dniu </w:t>
      </w:r>
      <w:r w:rsidR="00F557DF">
        <w:rPr>
          <w:color w:val="808080" w:themeColor="background1" w:themeShade="80"/>
          <w:sz w:val="24"/>
          <w:szCs w:val="24"/>
        </w:rPr>
        <w:t>18</w:t>
      </w:r>
      <w:r w:rsidR="00F326D8" w:rsidRPr="00F326D8">
        <w:rPr>
          <w:color w:val="808080" w:themeColor="background1" w:themeShade="80"/>
          <w:sz w:val="24"/>
          <w:szCs w:val="24"/>
        </w:rPr>
        <w:t>.11.2022</w:t>
      </w:r>
      <w:r w:rsidR="00B0302E" w:rsidRPr="00F326D8">
        <w:rPr>
          <w:color w:val="808080" w:themeColor="background1" w:themeShade="80"/>
          <w:sz w:val="24"/>
          <w:szCs w:val="24"/>
        </w:rPr>
        <w:t xml:space="preserve"> </w:t>
      </w:r>
      <w:r w:rsidRPr="00F326D8">
        <w:rPr>
          <w:color w:val="808080" w:themeColor="background1" w:themeShade="80"/>
          <w:sz w:val="24"/>
          <w:szCs w:val="24"/>
        </w:rPr>
        <w:t xml:space="preserve">r. </w:t>
      </w:r>
      <w:r w:rsidRPr="00C32590">
        <w:rPr>
          <w:color w:val="808080" w:themeColor="background1" w:themeShade="80"/>
          <w:sz w:val="24"/>
          <w:szCs w:val="24"/>
        </w:rPr>
        <w:t>odbyła się dyskusja publiczna nad przyjętymi rozwiązaniami w projekcie zmiany planu.</w:t>
      </w:r>
    </w:p>
    <w:p w14:paraId="4F3DCE9B" w14:textId="738309A5" w:rsidR="00A4751D" w:rsidRPr="00C32590" w:rsidRDefault="00E04E84" w:rsidP="00A4751D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 ustawowym terminie, tj. 14 dni po wyłożeniu do publicznego wglądu </w:t>
      </w:r>
      <w:r w:rsidR="00BE505B" w:rsidRPr="00C32590">
        <w:rPr>
          <w:color w:val="808080" w:themeColor="background1" w:themeShade="80"/>
          <w:sz w:val="24"/>
          <w:szCs w:val="24"/>
        </w:rPr>
        <w:t xml:space="preserve">tj. </w:t>
      </w:r>
      <w:r w:rsidRPr="00C32590">
        <w:rPr>
          <w:color w:val="808080" w:themeColor="background1" w:themeShade="80"/>
          <w:sz w:val="24"/>
          <w:szCs w:val="24"/>
        </w:rPr>
        <w:t xml:space="preserve">do </w:t>
      </w:r>
      <w:r w:rsidRPr="00F326D8">
        <w:rPr>
          <w:color w:val="808080" w:themeColor="background1" w:themeShade="80"/>
          <w:sz w:val="24"/>
          <w:szCs w:val="24"/>
        </w:rPr>
        <w:t>dnia</w:t>
      </w:r>
      <w:r w:rsidR="00DA2E71" w:rsidRPr="008F0249">
        <w:rPr>
          <w:color w:val="FF0000"/>
          <w:sz w:val="24"/>
          <w:szCs w:val="24"/>
        </w:rPr>
        <w:t xml:space="preserve"> </w:t>
      </w:r>
      <w:r w:rsidR="00F326D8" w:rsidRPr="00F326D8">
        <w:rPr>
          <w:color w:val="808080" w:themeColor="background1" w:themeShade="80"/>
          <w:sz w:val="24"/>
          <w:szCs w:val="24"/>
        </w:rPr>
        <w:t xml:space="preserve">12.12.2022 </w:t>
      </w:r>
      <w:r w:rsidRPr="00F326D8">
        <w:rPr>
          <w:color w:val="808080" w:themeColor="background1" w:themeShade="80"/>
          <w:sz w:val="24"/>
          <w:szCs w:val="24"/>
        </w:rPr>
        <w:t xml:space="preserve">r., </w:t>
      </w:r>
      <w:r w:rsidR="00A4751D" w:rsidRPr="00C32590">
        <w:rPr>
          <w:color w:val="808080" w:themeColor="background1" w:themeShade="80"/>
          <w:sz w:val="24"/>
          <w:szCs w:val="24"/>
        </w:rPr>
        <w:t>nie wpłynęły</w:t>
      </w:r>
      <w:r w:rsidRPr="00C32590">
        <w:rPr>
          <w:color w:val="808080" w:themeColor="background1" w:themeShade="80"/>
          <w:sz w:val="24"/>
          <w:szCs w:val="24"/>
        </w:rPr>
        <w:t xml:space="preserve"> uwagi do projektu zmiany planu oraz prognozy oddziaływania na środowisko. </w:t>
      </w:r>
      <w:r w:rsidR="00917227" w:rsidRPr="00F326D8">
        <w:footnoteReference w:id="1"/>
      </w:r>
    </w:p>
    <w:p w14:paraId="31175A74" w14:textId="477D961D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 wraz z listą nieuwzględnionych uwag,  celem uchwalenia.</w:t>
      </w:r>
    </w:p>
    <w:p w14:paraId="67F5D819" w14:textId="77777777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lastRenderedPageBreak/>
        <w:t>Zgodnie z art. 1 ust. 2 ustawy o planowaniu i zagospodarowaniu przestrzennym projekt zmiany planu:</w:t>
      </w:r>
    </w:p>
    <w:p w14:paraId="5D702D9E" w14:textId="5A6C9FCD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6726B1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41B7A452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5" w:name="_Hlk498180147"/>
      <w:r w:rsidRPr="00C32590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5"/>
      <w:r w:rsidRPr="00C32590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</w:t>
      </w:r>
      <w:r w:rsid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3F333A38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uwzględnienia walory ekonomiczne przestrzeni, poprzez ustalenia zawarte m.in. w §14-§</w:t>
      </w:r>
      <w:r w:rsidR="00C32590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0E770E6A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C32590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potrzeby interesu publicznego poprzez ustalenia zawarte m.in. w §11 tekstu uchwały dotyczące zasad modernizacji, rozbudowy i budowy systemów komunikacji oraz w </w:t>
      </w:r>
      <w:r w:rsidRPr="00C32590">
        <w:rPr>
          <w:rFonts w:ascii="Times New Roman" w:hAnsi="Times New Roman"/>
          <w:sz w:val="24"/>
          <w:szCs w:val="24"/>
        </w:rPr>
        <w:lastRenderedPageBreak/>
        <w:t>§12 tekstu uchwały, dotyczące zasad modernizacji, rozbudowy i budowy systemów infrastruktury technicznej;</w:t>
      </w:r>
    </w:p>
    <w:p w14:paraId="74DDA1FD" w14:textId="77777777" w:rsidR="00E04E84" w:rsidRPr="00C32590" w:rsidRDefault="00E04E84" w:rsidP="00F81C5E">
      <w:pPr>
        <w:pStyle w:val="Tekstpodstawowywcity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C32590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projektowane tereny stanowią kontynuację istniejącego zagospodarowania.</w:t>
      </w:r>
    </w:p>
    <w:p w14:paraId="03DF41E4" w14:textId="77777777" w:rsidR="00E04E84" w:rsidRPr="00C32590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C32590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4BC7979A" w14:textId="33ECE56F" w:rsidR="00E04E84" w:rsidRPr="00C32590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32590">
        <w:rPr>
          <w:sz w:val="24"/>
          <w:szCs w:val="24"/>
        </w:rPr>
        <w:t xml:space="preserve">Zgodnie z prognozą skutków finansowych, sporządzoną na podstawie art. 17 pkt 5 ustawy o planowaniu i zagospodarowaniu przestrzennym, w związku z ustalonym w zmianie planu </w:t>
      </w:r>
      <w:r w:rsidRPr="00C32590">
        <w:rPr>
          <w:sz w:val="24"/>
          <w:szCs w:val="24"/>
        </w:rPr>
        <w:lastRenderedPageBreak/>
        <w:t>przeznaczeniem terenów pod</w:t>
      </w:r>
      <w:r w:rsidR="000A55CC" w:rsidRPr="00C32590">
        <w:rPr>
          <w:sz w:val="24"/>
          <w:szCs w:val="24"/>
        </w:rPr>
        <w:t xml:space="preserve"> </w:t>
      </w:r>
      <w:r w:rsidRPr="00C32590">
        <w:rPr>
          <w:sz w:val="24"/>
          <w:szCs w:val="24"/>
        </w:rPr>
        <w:t>zabudowę wystąpi wzrost przychodów gminy z tytułu podatku od nieruchomości.</w:t>
      </w:r>
    </w:p>
    <w:p w14:paraId="430FDAB1" w14:textId="5D32E573" w:rsidR="00E04E84" w:rsidRPr="00C32590" w:rsidRDefault="00E04E84" w:rsidP="00C32590">
      <w:pPr>
        <w:spacing w:line="360" w:lineRule="auto"/>
        <w:ind w:firstLine="567"/>
        <w:contextualSpacing/>
        <w:jc w:val="both"/>
        <w:rPr>
          <w:color w:val="FF0000"/>
          <w:sz w:val="24"/>
          <w:szCs w:val="24"/>
        </w:rPr>
      </w:pPr>
      <w:r w:rsidRPr="004F523A">
        <w:rPr>
          <w:sz w:val="24"/>
          <w:szCs w:val="24"/>
        </w:rPr>
        <w:t>Projekt zmiany planu wprowadza tereny dróg publicznych (</w:t>
      </w:r>
      <w:r w:rsidR="00C32590" w:rsidRPr="004F523A">
        <w:rPr>
          <w:sz w:val="24"/>
          <w:szCs w:val="24"/>
        </w:rPr>
        <w:t xml:space="preserve">KDZ, </w:t>
      </w:r>
      <w:r w:rsidRPr="004F523A">
        <w:rPr>
          <w:sz w:val="24"/>
          <w:szCs w:val="24"/>
        </w:rPr>
        <w:t xml:space="preserve">KDD) oraz tereny dróg wewnętrznych (KDW). </w:t>
      </w:r>
      <w:r w:rsidR="00C32590" w:rsidRPr="004F523A">
        <w:rPr>
          <w:sz w:val="24"/>
          <w:szCs w:val="24"/>
        </w:rPr>
        <w:t xml:space="preserve">Droga publiczna KDZ jest drogą powiatową. </w:t>
      </w:r>
      <w:r w:rsidRPr="004F523A">
        <w:rPr>
          <w:sz w:val="24"/>
          <w:szCs w:val="24"/>
        </w:rPr>
        <w:t>Z budżetu gminy Słupca pokryte zostaną koszty wykupu części gruntów prywatnych pod teren dr</w:t>
      </w:r>
      <w:r w:rsidR="00C32590" w:rsidRPr="004F523A">
        <w:rPr>
          <w:sz w:val="24"/>
          <w:szCs w:val="24"/>
        </w:rPr>
        <w:t>ogi</w:t>
      </w:r>
      <w:r w:rsidRPr="004F523A">
        <w:rPr>
          <w:sz w:val="24"/>
          <w:szCs w:val="24"/>
        </w:rPr>
        <w:t xml:space="preserve"> publiczn</w:t>
      </w:r>
      <w:r w:rsidR="00C32590" w:rsidRPr="004F523A">
        <w:rPr>
          <w:sz w:val="24"/>
          <w:szCs w:val="24"/>
        </w:rPr>
        <w:t>ej</w:t>
      </w:r>
      <w:r w:rsidRPr="004F523A">
        <w:rPr>
          <w:sz w:val="24"/>
          <w:szCs w:val="24"/>
        </w:rPr>
        <w:t xml:space="preserve"> (KD</w:t>
      </w:r>
      <w:r w:rsidR="00C32590" w:rsidRPr="004F523A">
        <w:rPr>
          <w:sz w:val="24"/>
          <w:szCs w:val="24"/>
        </w:rPr>
        <w:t>D</w:t>
      </w:r>
      <w:r w:rsidRPr="004F523A">
        <w:rPr>
          <w:sz w:val="24"/>
          <w:szCs w:val="24"/>
        </w:rPr>
        <w:t xml:space="preserve">) oraz koszty wyposażenia </w:t>
      </w:r>
      <w:r w:rsidR="00C32590" w:rsidRPr="004F523A">
        <w:rPr>
          <w:sz w:val="24"/>
          <w:szCs w:val="24"/>
        </w:rPr>
        <w:t xml:space="preserve">tej drogi publicznej </w:t>
      </w:r>
      <w:r w:rsidRPr="004F523A">
        <w:rPr>
          <w:sz w:val="24"/>
          <w:szCs w:val="24"/>
        </w:rPr>
        <w:t>w infrastrukturę techniczną i drogową. Drogi wewnętrzne (KDW</w:t>
      </w:r>
      <w:r w:rsidR="00947D67">
        <w:rPr>
          <w:sz w:val="24"/>
          <w:szCs w:val="24"/>
        </w:rPr>
        <w:t>) nie stanowią dróg publicznych</w:t>
      </w:r>
      <w:r w:rsidRPr="004F523A">
        <w:rPr>
          <w:sz w:val="24"/>
          <w:szCs w:val="24"/>
        </w:rPr>
        <w:t>.</w:t>
      </w:r>
    </w:p>
    <w:p w14:paraId="2382E9E1" w14:textId="21477DB0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Przedmiotowy projekt zmiany planu jest zgodny z wyznaczonymi kierunkami zagospodarowania w obowiązującym Studium uwarunkowań i kierunków zagospodarowania przestrzennego gminy Słupca zatwierdzonym Uchwałą Rady Gminy Słupca Nr </w:t>
      </w:r>
      <w:r w:rsidR="00A4751D" w:rsidRPr="00C32590">
        <w:rPr>
          <w:rFonts w:ascii="Times New Roman" w:hAnsi="Times New Roman"/>
          <w:sz w:val="24"/>
          <w:szCs w:val="24"/>
        </w:rPr>
        <w:t>XXX/194/20 z dnia 26 listopada 2020 roku</w:t>
      </w:r>
      <w:r w:rsidRPr="00C32590">
        <w:rPr>
          <w:rFonts w:ascii="Times New Roman" w:hAnsi="Times New Roman"/>
          <w:sz w:val="24"/>
          <w:szCs w:val="24"/>
        </w:rPr>
        <w:t>.</w:t>
      </w:r>
    </w:p>
    <w:p w14:paraId="70531887" w14:textId="77777777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3EE0F14C" w14:textId="77777777" w:rsidR="00E04E84" w:rsidRPr="00C32590" w:rsidRDefault="00E04E84" w:rsidP="00E04E84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Wójt Gminy Słupca</w:t>
      </w:r>
    </w:p>
    <w:p w14:paraId="4D3A71D6" w14:textId="77777777" w:rsidR="00BE105F" w:rsidRPr="00C32590" w:rsidRDefault="00BE105F"/>
    <w:sectPr w:rsidR="00BE105F" w:rsidRPr="00C32590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1A38" w14:textId="77777777" w:rsidR="00EC1528" w:rsidRDefault="00EC1528" w:rsidP="00917227">
      <w:r>
        <w:separator/>
      </w:r>
    </w:p>
  </w:endnote>
  <w:endnote w:type="continuationSeparator" w:id="0">
    <w:p w14:paraId="7D38DE63" w14:textId="77777777" w:rsidR="00EC1528" w:rsidRDefault="00EC1528" w:rsidP="009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F465" w14:textId="77777777" w:rsidR="00EC1528" w:rsidRDefault="00EC1528" w:rsidP="00917227">
      <w:r>
        <w:separator/>
      </w:r>
    </w:p>
  </w:footnote>
  <w:footnote w:type="continuationSeparator" w:id="0">
    <w:p w14:paraId="5EB7EB72" w14:textId="77777777" w:rsidR="00EC1528" w:rsidRDefault="00EC1528" w:rsidP="00917227">
      <w:r>
        <w:continuationSeparator/>
      </w:r>
    </w:p>
  </w:footnote>
  <w:footnote w:id="1">
    <w:p w14:paraId="732192B5" w14:textId="542C0352" w:rsidR="00917227" w:rsidRDefault="00917227">
      <w:pPr>
        <w:pStyle w:val="Tekstprzypisudolnego"/>
      </w:pPr>
      <w:r>
        <w:rPr>
          <w:rStyle w:val="Odwoanieprzypisudolnego"/>
        </w:rPr>
        <w:footnoteRef/>
      </w:r>
      <w:r>
        <w:t xml:space="preserve"> Czynność, która nastąpi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8BA"/>
    <w:multiLevelType w:val="hybridMultilevel"/>
    <w:tmpl w:val="81B22EE8"/>
    <w:lvl w:ilvl="0" w:tplc="DBFC052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11316">
    <w:abstractNumId w:val="1"/>
  </w:num>
  <w:num w:numId="2" w16cid:durableId="1185631414">
    <w:abstractNumId w:val="2"/>
  </w:num>
  <w:num w:numId="3" w16cid:durableId="1676035649">
    <w:abstractNumId w:val="3"/>
  </w:num>
  <w:num w:numId="4" w16cid:durableId="75841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84"/>
    <w:rsid w:val="00024A1E"/>
    <w:rsid w:val="000A55CC"/>
    <w:rsid w:val="000C6DA0"/>
    <w:rsid w:val="00167ECA"/>
    <w:rsid w:val="001D15C4"/>
    <w:rsid w:val="001F2633"/>
    <w:rsid w:val="001F3AB6"/>
    <w:rsid w:val="002004E6"/>
    <w:rsid w:val="00216AB5"/>
    <w:rsid w:val="002278DD"/>
    <w:rsid w:val="002A1084"/>
    <w:rsid w:val="002A5BC5"/>
    <w:rsid w:val="002C27E2"/>
    <w:rsid w:val="003E2C7C"/>
    <w:rsid w:val="003E5405"/>
    <w:rsid w:val="00403B42"/>
    <w:rsid w:val="004460D8"/>
    <w:rsid w:val="004F523A"/>
    <w:rsid w:val="005E6D21"/>
    <w:rsid w:val="0061073C"/>
    <w:rsid w:val="0063406E"/>
    <w:rsid w:val="006726B1"/>
    <w:rsid w:val="006A634C"/>
    <w:rsid w:val="007371F5"/>
    <w:rsid w:val="007436AD"/>
    <w:rsid w:val="00745AE1"/>
    <w:rsid w:val="00755F3F"/>
    <w:rsid w:val="00817D3D"/>
    <w:rsid w:val="00885393"/>
    <w:rsid w:val="008A570A"/>
    <w:rsid w:val="008F0249"/>
    <w:rsid w:val="0090410B"/>
    <w:rsid w:val="00917227"/>
    <w:rsid w:val="00947D67"/>
    <w:rsid w:val="0096158C"/>
    <w:rsid w:val="00A4751D"/>
    <w:rsid w:val="00AB4C42"/>
    <w:rsid w:val="00B0302E"/>
    <w:rsid w:val="00BE105F"/>
    <w:rsid w:val="00BE505B"/>
    <w:rsid w:val="00C32590"/>
    <w:rsid w:val="00D0438E"/>
    <w:rsid w:val="00D8532A"/>
    <w:rsid w:val="00DA2E71"/>
    <w:rsid w:val="00E04E84"/>
    <w:rsid w:val="00E57C23"/>
    <w:rsid w:val="00EA5707"/>
    <w:rsid w:val="00EC1528"/>
    <w:rsid w:val="00F25E64"/>
    <w:rsid w:val="00F326D8"/>
    <w:rsid w:val="00F557DF"/>
    <w:rsid w:val="00F8183B"/>
    <w:rsid w:val="00F81C5E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2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227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6733-D6F8-4B58-A9B9-5470EB8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Święcicka Daria</cp:lastModifiedBy>
  <cp:revision>12</cp:revision>
  <cp:lastPrinted>2022-10-27T17:36:00Z</cp:lastPrinted>
  <dcterms:created xsi:type="dcterms:W3CDTF">2022-07-04T10:03:00Z</dcterms:created>
  <dcterms:modified xsi:type="dcterms:W3CDTF">2022-11-02T12:27:00Z</dcterms:modified>
</cp:coreProperties>
</file>